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E60A1" w14:textId="26ADA829" w:rsidR="004138BC" w:rsidRDefault="004138BC" w:rsidP="004F217D">
      <w:pPr>
        <w:tabs>
          <w:tab w:val="center" w:pos="4252"/>
        </w:tabs>
        <w:spacing w:after="0" w:line="240" w:lineRule="auto"/>
        <w:jc w:val="center"/>
        <w:rPr>
          <w:rFonts w:ascii="Times New Roman" w:eastAsia="Book Antiqua" w:hAnsi="Times New Roman" w:cs="Times New Roman"/>
          <w:b/>
          <w:color w:val="000000"/>
          <w:sz w:val="28"/>
          <w:szCs w:val="32"/>
        </w:rPr>
      </w:pPr>
      <w:r w:rsidRPr="002B50D9">
        <w:rPr>
          <w:rFonts w:ascii="Times New Roman" w:eastAsia="Book Antiqua" w:hAnsi="Times New Roman" w:cs="Times New Roman"/>
          <w:b/>
          <w:color w:val="000000"/>
          <w:sz w:val="28"/>
          <w:szCs w:val="32"/>
        </w:rPr>
        <w:t>Comparative Perspectives on Non-Conviction Based Asset Forfeiture: Legal Frameworks and Practices in Indonesia, United States, and United Kingdom</w:t>
      </w:r>
    </w:p>
    <w:p w14:paraId="6F18FDBD" w14:textId="77777777" w:rsidR="004F217D" w:rsidRPr="004F217D" w:rsidRDefault="004F217D" w:rsidP="004F217D">
      <w:pPr>
        <w:tabs>
          <w:tab w:val="center" w:pos="4252"/>
        </w:tabs>
        <w:spacing w:after="0" w:line="240" w:lineRule="auto"/>
        <w:jc w:val="center"/>
        <w:rPr>
          <w:rFonts w:ascii="Times New Roman" w:eastAsia="Book Antiqua" w:hAnsi="Times New Roman" w:cs="Times New Roman"/>
          <w:b/>
          <w:color w:val="000000"/>
          <w:szCs w:val="32"/>
        </w:rPr>
      </w:pPr>
    </w:p>
    <w:p w14:paraId="2FEDD83B" w14:textId="5FB96B22" w:rsidR="004138BC" w:rsidRPr="002B50D9" w:rsidRDefault="002B50D9" w:rsidP="002B50D9">
      <w:pPr>
        <w:spacing w:after="0" w:line="240" w:lineRule="auto"/>
        <w:jc w:val="center"/>
        <w:rPr>
          <w:rFonts w:ascii="Times New Roman" w:eastAsia="Book Antiqua" w:hAnsi="Times New Roman" w:cs="Times New Roman"/>
          <w:b/>
          <w:color w:val="000000"/>
          <w:szCs w:val="20"/>
        </w:rPr>
      </w:pPr>
      <w:r>
        <w:rPr>
          <w:rFonts w:ascii="Times New Roman" w:eastAsia="Book Antiqua" w:hAnsi="Times New Roman" w:cs="Times New Roman"/>
          <w:b/>
          <w:color w:val="000000"/>
          <w:szCs w:val="20"/>
        </w:rPr>
        <w:t>Hanifah Azizah</w:t>
      </w:r>
      <w:r w:rsidR="004138BC" w:rsidRPr="002B50D9">
        <w:rPr>
          <w:rFonts w:ascii="Times New Roman" w:eastAsia="Book Antiqua" w:hAnsi="Times New Roman" w:cs="Times New Roman"/>
          <w:b/>
          <w:color w:val="000000"/>
          <w:szCs w:val="20"/>
          <w:vertAlign w:val="superscript"/>
        </w:rPr>
        <w:t>1</w:t>
      </w:r>
      <w:r w:rsidR="004138BC" w:rsidRPr="002B50D9">
        <w:rPr>
          <w:rFonts w:ascii="Times New Roman" w:eastAsia="Book Antiqua" w:hAnsi="Times New Roman" w:cs="Times New Roman"/>
          <w:b/>
          <w:color w:val="000000"/>
          <w:szCs w:val="20"/>
        </w:rPr>
        <w:t>, Topo Santoso</w:t>
      </w:r>
      <w:r w:rsidR="004138BC" w:rsidRPr="002B50D9">
        <w:rPr>
          <w:rFonts w:ascii="Times New Roman" w:eastAsia="Book Antiqua" w:hAnsi="Times New Roman" w:cs="Times New Roman"/>
          <w:b/>
          <w:color w:val="000000"/>
          <w:szCs w:val="20"/>
          <w:vertAlign w:val="superscript"/>
        </w:rPr>
        <w:t>2</w:t>
      </w:r>
      <w:r w:rsidR="004138BC" w:rsidRPr="002B50D9">
        <w:rPr>
          <w:rFonts w:ascii="Times New Roman" w:eastAsia="Book Antiqua" w:hAnsi="Times New Roman" w:cs="Times New Roman"/>
          <w:b/>
          <w:color w:val="000000"/>
          <w:szCs w:val="20"/>
        </w:rPr>
        <w:t>, Yunus Husein</w:t>
      </w:r>
      <w:r w:rsidRPr="002B50D9">
        <w:rPr>
          <w:rFonts w:ascii="Times New Roman" w:eastAsia="Book Antiqua" w:hAnsi="Times New Roman" w:cs="Times New Roman"/>
          <w:b/>
          <w:color w:val="000000"/>
          <w:szCs w:val="20"/>
          <w:vertAlign w:val="superscript"/>
        </w:rPr>
        <w:t>3</w:t>
      </w:r>
      <w:r>
        <w:rPr>
          <w:rFonts w:ascii="Times New Roman" w:eastAsia="Book Antiqua" w:hAnsi="Times New Roman" w:cs="Times New Roman"/>
          <w:b/>
          <w:color w:val="000000"/>
          <w:szCs w:val="20"/>
          <w:lang w:val="id-ID"/>
        </w:rPr>
        <w:t xml:space="preserve">, </w:t>
      </w:r>
      <w:r w:rsidR="004138BC" w:rsidRPr="002B50D9">
        <w:rPr>
          <w:rFonts w:ascii="Times New Roman" w:eastAsia="Book Antiqua" w:hAnsi="Times New Roman" w:cs="Times New Roman"/>
          <w:b/>
          <w:color w:val="000000"/>
          <w:szCs w:val="20"/>
        </w:rPr>
        <w:t>Mahmud Mulyadi</w:t>
      </w:r>
      <w:r w:rsidR="004138BC" w:rsidRPr="002B50D9">
        <w:rPr>
          <w:rFonts w:ascii="Times New Roman" w:eastAsia="Book Antiqua" w:hAnsi="Times New Roman" w:cs="Times New Roman"/>
          <w:b/>
          <w:color w:val="000000"/>
          <w:szCs w:val="20"/>
          <w:vertAlign w:val="superscript"/>
        </w:rPr>
        <w:t>4</w:t>
      </w:r>
    </w:p>
    <w:p w14:paraId="528D1DCF" w14:textId="674FCE44" w:rsidR="004138BC" w:rsidRPr="002B50D9" w:rsidRDefault="004138BC" w:rsidP="002B50D9">
      <w:pPr>
        <w:spacing w:after="0" w:line="240" w:lineRule="auto"/>
        <w:jc w:val="center"/>
        <w:rPr>
          <w:rFonts w:ascii="Times New Roman" w:eastAsia="Book Antiqua" w:hAnsi="Times New Roman" w:cs="Times New Roman"/>
          <w:color w:val="000000"/>
          <w:szCs w:val="20"/>
        </w:rPr>
      </w:pPr>
      <w:r w:rsidRPr="002B50D9">
        <w:rPr>
          <w:rFonts w:ascii="Times New Roman" w:eastAsia="Book Antiqua" w:hAnsi="Times New Roman" w:cs="Times New Roman"/>
          <w:color w:val="000000"/>
          <w:szCs w:val="20"/>
          <w:vertAlign w:val="superscript"/>
        </w:rPr>
        <w:t>1,4</w:t>
      </w:r>
      <w:r w:rsidRPr="002B50D9">
        <w:rPr>
          <w:rFonts w:ascii="Times New Roman" w:eastAsia="Book Antiqua" w:hAnsi="Times New Roman" w:cs="Times New Roman"/>
          <w:color w:val="000000"/>
          <w:szCs w:val="20"/>
        </w:rPr>
        <w:t>Universitas Sumatera Utara, Indonesia</w:t>
      </w:r>
    </w:p>
    <w:p w14:paraId="07DEDB13" w14:textId="5C46E435" w:rsidR="002B50D9" w:rsidRPr="004F217D" w:rsidRDefault="002B50D9" w:rsidP="004F217D">
      <w:pPr>
        <w:spacing w:after="0" w:line="240" w:lineRule="auto"/>
        <w:jc w:val="center"/>
        <w:rPr>
          <w:rFonts w:ascii="Times New Roman" w:eastAsia="Book Antiqua" w:hAnsi="Times New Roman" w:cs="Times New Roman"/>
          <w:color w:val="000000"/>
          <w:szCs w:val="20"/>
        </w:rPr>
      </w:pPr>
      <w:r>
        <w:rPr>
          <w:rFonts w:ascii="Times New Roman" w:eastAsia="Book Antiqua" w:hAnsi="Times New Roman" w:cs="Times New Roman"/>
          <w:color w:val="000000"/>
          <w:szCs w:val="20"/>
          <w:vertAlign w:val="superscript"/>
        </w:rPr>
        <w:t>2,3</w:t>
      </w:r>
      <w:r w:rsidR="004138BC" w:rsidRPr="002B50D9">
        <w:rPr>
          <w:rFonts w:ascii="Times New Roman" w:eastAsia="Book Antiqua" w:hAnsi="Times New Roman" w:cs="Times New Roman"/>
          <w:color w:val="000000"/>
          <w:szCs w:val="20"/>
        </w:rPr>
        <w:t>Universitas Indonesia, Indonesia</w:t>
      </w:r>
    </w:p>
    <w:tbl>
      <w:tblPr>
        <w:tblStyle w:val="TableGrid1"/>
        <w:tblpPr w:leftFromText="180" w:rightFromText="180" w:vertAnchor="text" w:horzAnchor="page" w:tblpX="1420" w:tblpY="498"/>
        <w:tblOverlap w:val="never"/>
        <w:tblW w:w="9356" w:type="dxa"/>
        <w:tblLook w:val="04A0" w:firstRow="1" w:lastRow="0" w:firstColumn="1" w:lastColumn="0" w:noHBand="0" w:noVBand="1"/>
      </w:tblPr>
      <w:tblGrid>
        <w:gridCol w:w="2802"/>
        <w:gridCol w:w="283"/>
        <w:gridCol w:w="6271"/>
      </w:tblGrid>
      <w:tr w:rsidR="002B50D9" w:rsidRPr="002B50D9" w14:paraId="31A3D293" w14:textId="77777777" w:rsidTr="00FC4A2B">
        <w:tc>
          <w:tcPr>
            <w:tcW w:w="2802" w:type="dxa"/>
            <w:tcBorders>
              <w:top w:val="double" w:sz="4" w:space="0" w:color="auto"/>
              <w:left w:val="nil"/>
              <w:bottom w:val="single" w:sz="4" w:space="0" w:color="auto"/>
              <w:right w:val="nil"/>
            </w:tcBorders>
          </w:tcPr>
          <w:p w14:paraId="60A81D92" w14:textId="77777777" w:rsidR="002B50D9" w:rsidRPr="002B50D9" w:rsidRDefault="002B50D9" w:rsidP="002B50D9">
            <w:pPr>
              <w:spacing w:before="120" w:after="0" w:line="240" w:lineRule="auto"/>
              <w:jc w:val="both"/>
              <w:rPr>
                <w:rFonts w:ascii="Times New Roman" w:eastAsia="Times New Roman" w:hAnsi="Times New Roman" w:cs="Times New Roman"/>
                <w:b/>
                <w:sz w:val="20"/>
                <w:szCs w:val="20"/>
              </w:rPr>
            </w:pPr>
            <w:r w:rsidRPr="002B50D9">
              <w:rPr>
                <w:rFonts w:ascii="Times New Roman" w:eastAsia="Times New Roman" w:hAnsi="Times New Roman" w:cs="Times New Roman"/>
                <w:b/>
                <w:sz w:val="20"/>
                <w:szCs w:val="20"/>
              </w:rPr>
              <w:t>ARTICLE INFO</w:t>
            </w:r>
          </w:p>
        </w:tc>
        <w:tc>
          <w:tcPr>
            <w:tcW w:w="283" w:type="dxa"/>
            <w:tcBorders>
              <w:top w:val="double" w:sz="4" w:space="0" w:color="auto"/>
              <w:left w:val="nil"/>
              <w:bottom w:val="nil"/>
              <w:right w:val="nil"/>
            </w:tcBorders>
          </w:tcPr>
          <w:p w14:paraId="2C83539D" w14:textId="77777777" w:rsidR="002B50D9" w:rsidRPr="002B50D9" w:rsidRDefault="002B50D9" w:rsidP="002B50D9">
            <w:pPr>
              <w:spacing w:before="120" w:after="0" w:line="240" w:lineRule="auto"/>
              <w:jc w:val="center"/>
              <w:rPr>
                <w:rFonts w:ascii="Times New Roman" w:eastAsia="Times New Roman" w:hAnsi="Times New Roman" w:cs="Times New Roman"/>
                <w:sz w:val="20"/>
                <w:szCs w:val="20"/>
              </w:rPr>
            </w:pPr>
          </w:p>
        </w:tc>
        <w:tc>
          <w:tcPr>
            <w:tcW w:w="6271" w:type="dxa"/>
            <w:tcBorders>
              <w:top w:val="double" w:sz="4" w:space="0" w:color="auto"/>
              <w:left w:val="nil"/>
              <w:bottom w:val="single" w:sz="4" w:space="0" w:color="auto"/>
              <w:right w:val="nil"/>
            </w:tcBorders>
          </w:tcPr>
          <w:p w14:paraId="452B8540" w14:textId="77777777" w:rsidR="002B50D9" w:rsidRPr="002B50D9" w:rsidRDefault="002B50D9" w:rsidP="002B50D9">
            <w:pPr>
              <w:spacing w:before="120" w:after="0" w:line="240" w:lineRule="auto"/>
              <w:rPr>
                <w:rFonts w:ascii="Times New Roman" w:eastAsia="Times New Roman" w:hAnsi="Times New Roman" w:cs="Times New Roman"/>
                <w:color w:val="000000"/>
                <w:sz w:val="20"/>
                <w:szCs w:val="20"/>
              </w:rPr>
            </w:pPr>
            <w:r w:rsidRPr="002B50D9">
              <w:rPr>
                <w:rFonts w:ascii="Times New Roman" w:eastAsia="Times New Roman" w:hAnsi="Times New Roman" w:cs="Times New Roman"/>
                <w:b/>
                <w:bCs/>
                <w:iCs/>
                <w:color w:val="000000"/>
                <w:sz w:val="20"/>
                <w:szCs w:val="20"/>
              </w:rPr>
              <w:t>ABSTRACT</w:t>
            </w:r>
          </w:p>
        </w:tc>
      </w:tr>
      <w:tr w:rsidR="002B50D9" w:rsidRPr="002B50D9" w14:paraId="23E7CFCB" w14:textId="77777777" w:rsidTr="00FC4A2B">
        <w:trPr>
          <w:trHeight w:val="1268"/>
        </w:trPr>
        <w:tc>
          <w:tcPr>
            <w:tcW w:w="2802" w:type="dxa"/>
            <w:tcBorders>
              <w:top w:val="single" w:sz="4" w:space="0" w:color="auto"/>
              <w:left w:val="nil"/>
              <w:bottom w:val="single" w:sz="4" w:space="0" w:color="auto"/>
              <w:right w:val="nil"/>
            </w:tcBorders>
          </w:tcPr>
          <w:p w14:paraId="74D22193" w14:textId="77777777" w:rsidR="002B50D9" w:rsidRPr="002B50D9" w:rsidRDefault="002B50D9" w:rsidP="002B50D9">
            <w:pPr>
              <w:spacing w:before="120" w:after="120" w:line="240" w:lineRule="auto"/>
              <w:jc w:val="both"/>
              <w:rPr>
                <w:rFonts w:ascii="Times New Roman" w:eastAsia="Times New Roman" w:hAnsi="Times New Roman" w:cs="Times New Roman"/>
                <w:b/>
                <w:i/>
                <w:sz w:val="20"/>
                <w:szCs w:val="20"/>
              </w:rPr>
            </w:pPr>
            <w:r w:rsidRPr="002B50D9">
              <w:rPr>
                <w:rFonts w:ascii="Times New Roman" w:eastAsia="Times New Roman" w:hAnsi="Times New Roman" w:cs="Times New Roman"/>
                <w:b/>
                <w:i/>
                <w:sz w:val="20"/>
                <w:szCs w:val="20"/>
              </w:rPr>
              <w:t>Article history:</w:t>
            </w:r>
          </w:p>
          <w:p w14:paraId="3C5EEBE1"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r w:rsidRPr="002B50D9">
              <w:rPr>
                <w:rFonts w:ascii="Times New Roman" w:eastAsia="Times New Roman" w:hAnsi="Times New Roman" w:cs="Times New Roman"/>
                <w:sz w:val="20"/>
                <w:szCs w:val="20"/>
              </w:rPr>
              <w:t xml:space="preserve">DOI: </w:t>
            </w:r>
          </w:p>
          <w:p w14:paraId="208BEABC"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hyperlink r:id="rId7" w:history="1">
              <w:r w:rsidRPr="002B50D9">
                <w:rPr>
                  <w:rFonts w:ascii="Times New Roman" w:eastAsia="Times New Roman" w:hAnsi="Times New Roman" w:cs="Times New Roman"/>
                  <w:color w:val="0000FF"/>
                  <w:sz w:val="20"/>
                  <w:szCs w:val="20"/>
                  <w:highlight w:val="yellow"/>
                  <w:u w:val="single"/>
                </w:rPr>
                <w:t>10.30595/pssh.v14i.1090</w:t>
              </w:r>
            </w:hyperlink>
            <w:r w:rsidRPr="002B50D9">
              <w:rPr>
                <w:rFonts w:ascii="Times New Roman" w:eastAsia="Times New Roman" w:hAnsi="Times New Roman" w:cs="Times New Roman"/>
                <w:sz w:val="20"/>
                <w:szCs w:val="20"/>
              </w:rPr>
              <w:t xml:space="preserve"> </w:t>
            </w:r>
          </w:p>
          <w:p w14:paraId="32B8F987"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p>
          <w:p w14:paraId="7D49719A"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r w:rsidRPr="002B50D9">
              <w:rPr>
                <w:rFonts w:ascii="Times New Roman" w:eastAsia="Times New Roman" w:hAnsi="Times New Roman" w:cs="Times New Roman"/>
                <w:sz w:val="20"/>
                <w:szCs w:val="20"/>
              </w:rPr>
              <w:t xml:space="preserve">Submited: </w:t>
            </w:r>
          </w:p>
          <w:p w14:paraId="05981EAE"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r w:rsidRPr="002B50D9">
              <w:rPr>
                <w:rFonts w:ascii="Times New Roman" w:eastAsia="Times New Roman" w:hAnsi="Times New Roman" w:cs="Times New Roman"/>
                <w:sz w:val="20"/>
                <w:szCs w:val="20"/>
                <w:lang w:val="id-ID"/>
              </w:rPr>
              <w:t>June</w:t>
            </w:r>
            <w:r w:rsidRPr="002B50D9">
              <w:rPr>
                <w:rFonts w:ascii="Times New Roman" w:eastAsia="Times New Roman" w:hAnsi="Times New Roman" w:cs="Times New Roman"/>
                <w:sz w:val="20"/>
                <w:szCs w:val="20"/>
              </w:rPr>
              <w:t xml:space="preserve"> 08, 2023</w:t>
            </w:r>
          </w:p>
          <w:p w14:paraId="37DDA4E5"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p>
          <w:p w14:paraId="4D0BBB0F"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r w:rsidRPr="002B50D9">
              <w:rPr>
                <w:rFonts w:ascii="Times New Roman" w:eastAsia="Times New Roman" w:hAnsi="Times New Roman" w:cs="Times New Roman"/>
                <w:sz w:val="20"/>
                <w:szCs w:val="20"/>
              </w:rPr>
              <w:t xml:space="preserve">Accepted: </w:t>
            </w:r>
          </w:p>
          <w:p w14:paraId="56140E6E"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r w:rsidRPr="002B50D9">
              <w:rPr>
                <w:rFonts w:ascii="Times New Roman" w:eastAsia="Times New Roman" w:hAnsi="Times New Roman" w:cs="Times New Roman"/>
                <w:sz w:val="20"/>
                <w:szCs w:val="20"/>
                <w:lang w:val="id-ID"/>
              </w:rPr>
              <w:t>September</w:t>
            </w:r>
            <w:r w:rsidRPr="002B50D9">
              <w:rPr>
                <w:rFonts w:ascii="Times New Roman" w:eastAsia="Times New Roman" w:hAnsi="Times New Roman" w:cs="Times New Roman"/>
                <w:sz w:val="20"/>
                <w:szCs w:val="20"/>
              </w:rPr>
              <w:t xml:space="preserve"> 29, 2023</w:t>
            </w:r>
          </w:p>
          <w:p w14:paraId="5A7A85F3"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p>
          <w:p w14:paraId="29719C03"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r w:rsidRPr="002B50D9">
              <w:rPr>
                <w:rFonts w:ascii="Times New Roman" w:eastAsia="Times New Roman" w:hAnsi="Times New Roman" w:cs="Times New Roman"/>
                <w:sz w:val="20"/>
                <w:szCs w:val="20"/>
              </w:rPr>
              <w:t xml:space="preserve">Published: </w:t>
            </w:r>
          </w:p>
          <w:p w14:paraId="067AE5AD"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r w:rsidRPr="002B50D9">
              <w:rPr>
                <w:rFonts w:ascii="Times New Roman" w:eastAsia="Times New Roman" w:hAnsi="Times New Roman" w:cs="Times New Roman"/>
                <w:sz w:val="20"/>
                <w:szCs w:val="20"/>
                <w:lang w:val="id-ID"/>
              </w:rPr>
              <w:t>November</w:t>
            </w:r>
            <w:r w:rsidRPr="002B50D9">
              <w:rPr>
                <w:rFonts w:ascii="Times New Roman" w:eastAsia="Times New Roman" w:hAnsi="Times New Roman" w:cs="Times New Roman"/>
                <w:sz w:val="20"/>
                <w:szCs w:val="20"/>
              </w:rPr>
              <w:t xml:space="preserve"> 16, 2023 </w:t>
            </w:r>
            <w:r w:rsidRPr="002B50D9">
              <w:rPr>
                <w:rFonts w:ascii="Times New Roman" w:eastAsia="Times New Roman" w:hAnsi="Times New Roman" w:cs="Times New Roman"/>
                <w:sz w:val="20"/>
                <w:szCs w:val="20"/>
                <w:lang w:val="id-ID"/>
              </w:rPr>
              <w:t xml:space="preserve"> </w:t>
            </w:r>
            <w:r w:rsidRPr="002B50D9">
              <w:rPr>
                <w:rFonts w:ascii="Times New Roman" w:eastAsia="Times New Roman" w:hAnsi="Times New Roman" w:cs="Times New Roman"/>
                <w:sz w:val="20"/>
                <w:szCs w:val="20"/>
              </w:rPr>
              <w:t xml:space="preserve">      </w:t>
            </w:r>
          </w:p>
          <w:p w14:paraId="33C9D55F" w14:textId="77777777" w:rsidR="002B50D9" w:rsidRPr="002B50D9" w:rsidRDefault="002B50D9" w:rsidP="002B50D9">
            <w:pPr>
              <w:spacing w:after="0" w:line="240" w:lineRule="auto"/>
              <w:jc w:val="both"/>
              <w:rPr>
                <w:rFonts w:ascii="Times New Roman" w:eastAsia="Times New Roman" w:hAnsi="Times New Roman" w:cs="Times New Roman"/>
                <w:sz w:val="20"/>
                <w:szCs w:val="20"/>
              </w:rPr>
            </w:pPr>
          </w:p>
        </w:tc>
        <w:tc>
          <w:tcPr>
            <w:tcW w:w="283" w:type="dxa"/>
            <w:vMerge w:val="restart"/>
            <w:tcBorders>
              <w:top w:val="nil"/>
              <w:left w:val="nil"/>
              <w:bottom w:val="nil"/>
              <w:right w:val="nil"/>
            </w:tcBorders>
          </w:tcPr>
          <w:p w14:paraId="610B67D7" w14:textId="77777777" w:rsidR="002B50D9" w:rsidRPr="002B50D9" w:rsidRDefault="002B50D9" w:rsidP="002B50D9">
            <w:pPr>
              <w:spacing w:before="120" w:after="0" w:line="240" w:lineRule="auto"/>
              <w:jc w:val="both"/>
              <w:rPr>
                <w:rFonts w:ascii="Times New Roman" w:eastAsia="Times New Roman" w:hAnsi="Times New Roman" w:cs="Times New Roman"/>
                <w:sz w:val="20"/>
                <w:szCs w:val="20"/>
              </w:rPr>
            </w:pPr>
          </w:p>
        </w:tc>
        <w:tc>
          <w:tcPr>
            <w:tcW w:w="6271" w:type="dxa"/>
            <w:vMerge w:val="restart"/>
            <w:tcBorders>
              <w:top w:val="single" w:sz="4" w:space="0" w:color="auto"/>
              <w:left w:val="nil"/>
              <w:bottom w:val="nil"/>
              <w:right w:val="nil"/>
            </w:tcBorders>
          </w:tcPr>
          <w:p w14:paraId="0D9B8424" w14:textId="0CF95682" w:rsidR="002B50D9" w:rsidRPr="002B50D9" w:rsidRDefault="002B50D9" w:rsidP="002B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52"/>
              <w:jc w:val="both"/>
              <w:rPr>
                <w:rFonts w:ascii="Times New Roman" w:eastAsia="Book Antiqua" w:hAnsi="Times New Roman" w:cs="Times New Roman"/>
                <w:i/>
                <w:color w:val="000000"/>
                <w:sz w:val="20"/>
                <w:szCs w:val="20"/>
              </w:rPr>
            </w:pPr>
            <w:r w:rsidRPr="002B50D9">
              <w:rPr>
                <w:rFonts w:ascii="Times New Roman" w:eastAsia="Book Antiqua" w:hAnsi="Times New Roman" w:cs="Times New Roman"/>
                <w:i/>
                <w:color w:val="000000"/>
                <w:sz w:val="20"/>
                <w:szCs w:val="20"/>
              </w:rPr>
              <w:t>One of the most crucial instruments in fighting against corruption, money laundering, and transnational organized crime is non-conviction-based asset forfeiture, or NCB-AF. The seizure of assets linked to illegal activity is permitted under this mechanism without a prior criminal conviction, on the condition that robust due process protections are maintained. Using international standards such as the UN Convention Against Corruption (UNCAC), the United Nations Convention Against Transnational Organized Crime (UN-CATOC), and the Financial Action Task Force's ( FATF) recommendations, this research aims to analyze the NCB-AF laws and regulations in the following selected nations: the United States and the United Kingdom. The main research question is twofold: first, to examine the practical application and effectiveness of NCB-AF mechanisms in selected jurisdictions; and second, to synthesize key insights from these comparative models to inform the development of a robust NCB-AF framework in Indonesia. This research applies normative legal analysis through a comparative legal framework. The results show that there are many different types of models, such as civil in rem proceedings, unexplained wealth regimes, and reverse onus provisions. While NCB-AF has proven effective in asset recovery and disrupting criminal enterprises, it raises concerns regarding human rights safeguards and international cooperation. The study suggests that Indonesia should design a balanced NCB-AF framework that harmonizes international standards with constitutional protections.</w:t>
            </w:r>
          </w:p>
          <w:p w14:paraId="2229152C" w14:textId="77777777" w:rsidR="002B50D9" w:rsidRPr="002B50D9" w:rsidRDefault="002B50D9" w:rsidP="002B50D9">
            <w:pPr>
              <w:spacing w:before="120" w:after="0" w:line="240" w:lineRule="auto"/>
              <w:rPr>
                <w:rFonts w:ascii="Times New Roman" w:eastAsia="Times New Roman" w:hAnsi="Times New Roman" w:cs="Times New Roman"/>
                <w:i/>
                <w:iCs/>
                <w:color w:val="000000"/>
                <w:sz w:val="18"/>
                <w:szCs w:val="20"/>
              </w:rPr>
            </w:pPr>
            <w:r w:rsidRPr="002B50D9">
              <w:rPr>
                <w:rFonts w:ascii="Times New Roman" w:eastAsia="Times New Roman" w:hAnsi="Times New Roman" w:cs="Times New Roman"/>
                <w:i/>
                <w:iCs/>
                <w:color w:val="000000"/>
                <w:sz w:val="18"/>
                <w:szCs w:val="20"/>
              </w:rPr>
              <w:t>This work is licensed under a </w:t>
            </w:r>
            <w:hyperlink r:id="rId8" w:history="1">
              <w:r w:rsidRPr="002B50D9">
                <w:rPr>
                  <w:rFonts w:ascii="Times New Roman" w:eastAsia="Times New Roman" w:hAnsi="Times New Roman" w:cs="Times New Roman"/>
                  <w:i/>
                  <w:iCs/>
                  <w:color w:val="0000FF"/>
                  <w:sz w:val="18"/>
                  <w:szCs w:val="20"/>
                  <w:u w:val="single"/>
                </w:rPr>
                <w:t>Creative Commons Attribution 4.0 International License</w:t>
              </w:r>
            </w:hyperlink>
            <w:r w:rsidRPr="002B50D9">
              <w:rPr>
                <w:rFonts w:ascii="Times New Roman" w:eastAsia="Times New Roman" w:hAnsi="Times New Roman" w:cs="Times New Roman"/>
                <w:i/>
                <w:iCs/>
                <w:color w:val="000000"/>
                <w:sz w:val="18"/>
                <w:szCs w:val="20"/>
              </w:rPr>
              <w:t xml:space="preserve">. </w:t>
            </w:r>
          </w:p>
          <w:p w14:paraId="1D1E0663" w14:textId="77777777" w:rsidR="002B50D9" w:rsidRPr="002B50D9" w:rsidRDefault="002B50D9" w:rsidP="002B50D9">
            <w:pPr>
              <w:spacing w:before="120" w:after="0" w:line="240" w:lineRule="auto"/>
              <w:rPr>
                <w:rFonts w:ascii="Times New Roman" w:eastAsia="Times New Roman" w:hAnsi="Times New Roman" w:cs="Times New Roman"/>
                <w:sz w:val="20"/>
                <w:szCs w:val="20"/>
              </w:rPr>
            </w:pPr>
            <w:r w:rsidRPr="002B50D9">
              <w:rPr>
                <w:rFonts w:ascii="Times New Roman" w:eastAsia="Times New Roman" w:hAnsi="Times New Roman" w:cs="Times New Roman"/>
                <w:noProof/>
                <w:sz w:val="18"/>
                <w:szCs w:val="20"/>
              </w:rPr>
              <w:drawing>
                <wp:inline distT="0" distB="0" distL="0" distR="0" wp14:anchorId="3362F94D" wp14:editId="7702C2DB">
                  <wp:extent cx="838200" cy="298450"/>
                  <wp:effectExtent l="0" t="0" r="0" b="6350"/>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38200" cy="298450"/>
                          </a:xfrm>
                          <a:prstGeom prst="rect">
                            <a:avLst/>
                          </a:prstGeom>
                          <a:noFill/>
                          <a:ln>
                            <a:noFill/>
                          </a:ln>
                        </pic:spPr>
                      </pic:pic>
                    </a:graphicData>
                  </a:graphic>
                </wp:inline>
              </w:drawing>
            </w:r>
          </w:p>
        </w:tc>
      </w:tr>
      <w:tr w:rsidR="002B50D9" w:rsidRPr="002B50D9" w14:paraId="0D8CB47C" w14:textId="77777777" w:rsidTr="00FC4A2B">
        <w:trPr>
          <w:trHeight w:val="1231"/>
        </w:trPr>
        <w:tc>
          <w:tcPr>
            <w:tcW w:w="2802" w:type="dxa"/>
            <w:vMerge w:val="restart"/>
            <w:tcBorders>
              <w:top w:val="single" w:sz="4" w:space="0" w:color="auto"/>
              <w:left w:val="nil"/>
              <w:bottom w:val="single" w:sz="4" w:space="0" w:color="auto"/>
              <w:right w:val="nil"/>
            </w:tcBorders>
          </w:tcPr>
          <w:p w14:paraId="0F1B71B2" w14:textId="77777777" w:rsidR="002B50D9" w:rsidRPr="002B50D9" w:rsidRDefault="002B50D9" w:rsidP="002B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52"/>
              <w:jc w:val="both"/>
              <w:rPr>
                <w:rFonts w:ascii="Times New Roman" w:eastAsia="Book Antiqua" w:hAnsi="Times New Roman" w:cs="Times New Roman"/>
                <w:i/>
                <w:color w:val="000000"/>
                <w:sz w:val="20"/>
                <w:szCs w:val="20"/>
                <w:lang w:val="id-ID"/>
              </w:rPr>
            </w:pPr>
            <w:r w:rsidRPr="002B50D9">
              <w:rPr>
                <w:rFonts w:ascii="Times New Roman" w:eastAsia="Book Antiqua" w:hAnsi="Times New Roman" w:cs="Times New Roman"/>
                <w:b/>
                <w:i/>
                <w:color w:val="000000"/>
                <w:sz w:val="20"/>
                <w:szCs w:val="20"/>
              </w:rPr>
              <w:t>Keywords</w:t>
            </w:r>
            <w:r w:rsidRPr="002B50D9">
              <w:rPr>
                <w:rFonts w:ascii="Times New Roman" w:eastAsia="Book Antiqua" w:hAnsi="Times New Roman" w:cs="Times New Roman"/>
                <w:i/>
                <w:color w:val="000000"/>
                <w:sz w:val="20"/>
                <w:szCs w:val="20"/>
              </w:rPr>
              <w:t>:</w:t>
            </w:r>
            <w:r w:rsidRPr="002B50D9">
              <w:rPr>
                <w:rFonts w:ascii="Times New Roman" w:eastAsia="Book Antiqua" w:hAnsi="Times New Roman" w:cs="Times New Roman"/>
                <w:i/>
                <w:color w:val="000000"/>
                <w:sz w:val="20"/>
                <w:szCs w:val="20"/>
                <w:lang w:val="id-ID"/>
              </w:rPr>
              <w:t xml:space="preserve"> </w:t>
            </w:r>
          </w:p>
          <w:p w14:paraId="2AE57010" w14:textId="7636F62F" w:rsidR="002B50D9" w:rsidRPr="002B50D9" w:rsidRDefault="002B50D9" w:rsidP="002B50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52"/>
              <w:rPr>
                <w:rFonts w:ascii="Times New Roman" w:eastAsia="Book Antiqua" w:hAnsi="Times New Roman" w:cs="Times New Roman"/>
                <w:color w:val="000000"/>
                <w:sz w:val="20"/>
                <w:szCs w:val="20"/>
              </w:rPr>
            </w:pPr>
            <w:r w:rsidRPr="002B50D9">
              <w:rPr>
                <w:rFonts w:ascii="Times New Roman" w:eastAsia="Book Antiqua" w:hAnsi="Times New Roman" w:cs="Times New Roman"/>
                <w:color w:val="000000"/>
                <w:sz w:val="20"/>
                <w:szCs w:val="20"/>
              </w:rPr>
              <w:t>Anti-Money Laundering, Corruption, Non-Conviction-Based Asset Forfeiture</w:t>
            </w:r>
          </w:p>
          <w:p w14:paraId="3F08EAB5" w14:textId="77777777" w:rsidR="002B50D9" w:rsidRPr="002B50D9" w:rsidRDefault="002B50D9" w:rsidP="002B50D9">
            <w:pPr>
              <w:spacing w:after="0" w:line="240" w:lineRule="auto"/>
              <w:ind w:right="186"/>
              <w:rPr>
                <w:rFonts w:ascii="Times New Roman" w:eastAsia="Times New Roman" w:hAnsi="Times New Roman" w:cs="Times New Roman"/>
                <w:sz w:val="20"/>
                <w:szCs w:val="20"/>
                <w:lang w:val="id-ID"/>
              </w:rPr>
            </w:pPr>
          </w:p>
        </w:tc>
        <w:tc>
          <w:tcPr>
            <w:tcW w:w="283" w:type="dxa"/>
            <w:vMerge/>
            <w:tcBorders>
              <w:top w:val="nil"/>
              <w:left w:val="nil"/>
              <w:bottom w:val="nil"/>
              <w:right w:val="nil"/>
            </w:tcBorders>
          </w:tcPr>
          <w:p w14:paraId="5420F3E0" w14:textId="77777777" w:rsidR="002B50D9" w:rsidRPr="002B50D9" w:rsidRDefault="002B50D9" w:rsidP="002B50D9">
            <w:pPr>
              <w:spacing w:before="120" w:after="0" w:line="240" w:lineRule="auto"/>
              <w:jc w:val="both"/>
              <w:rPr>
                <w:rFonts w:ascii="Times New Roman" w:eastAsia="Times New Roman" w:hAnsi="Times New Roman" w:cs="Times New Roman"/>
                <w:sz w:val="20"/>
                <w:szCs w:val="20"/>
              </w:rPr>
            </w:pPr>
          </w:p>
        </w:tc>
        <w:tc>
          <w:tcPr>
            <w:tcW w:w="6271" w:type="dxa"/>
            <w:vMerge/>
            <w:tcBorders>
              <w:top w:val="nil"/>
              <w:left w:val="nil"/>
              <w:bottom w:val="nil"/>
              <w:right w:val="nil"/>
            </w:tcBorders>
          </w:tcPr>
          <w:p w14:paraId="0F38B537" w14:textId="77777777" w:rsidR="002B50D9" w:rsidRPr="002B50D9" w:rsidRDefault="002B50D9" w:rsidP="002B50D9">
            <w:pPr>
              <w:spacing w:before="120" w:after="0" w:line="240" w:lineRule="auto"/>
              <w:jc w:val="both"/>
              <w:rPr>
                <w:rFonts w:ascii="Times New Roman" w:eastAsia="Times New Roman" w:hAnsi="Times New Roman" w:cs="Times New Roman"/>
                <w:iCs/>
                <w:color w:val="000000"/>
                <w:sz w:val="20"/>
                <w:szCs w:val="20"/>
              </w:rPr>
            </w:pPr>
          </w:p>
        </w:tc>
      </w:tr>
      <w:tr w:rsidR="002B50D9" w:rsidRPr="002B50D9" w14:paraId="0015CA2F" w14:textId="77777777" w:rsidTr="00FC4A2B">
        <w:trPr>
          <w:trHeight w:val="70"/>
        </w:trPr>
        <w:tc>
          <w:tcPr>
            <w:tcW w:w="2802" w:type="dxa"/>
            <w:vMerge/>
            <w:tcBorders>
              <w:top w:val="single" w:sz="4" w:space="0" w:color="auto"/>
              <w:left w:val="nil"/>
              <w:bottom w:val="single" w:sz="4" w:space="0" w:color="auto"/>
              <w:right w:val="nil"/>
            </w:tcBorders>
          </w:tcPr>
          <w:p w14:paraId="69F4A0AF" w14:textId="77777777" w:rsidR="002B50D9" w:rsidRPr="002B50D9" w:rsidRDefault="002B50D9" w:rsidP="002B50D9">
            <w:pPr>
              <w:spacing w:before="120" w:after="0" w:line="240" w:lineRule="auto"/>
              <w:jc w:val="both"/>
              <w:rPr>
                <w:rFonts w:ascii="Times New Roman" w:eastAsia="Times New Roman" w:hAnsi="Times New Roman" w:cs="Times New Roman"/>
                <w:b/>
                <w:i/>
                <w:sz w:val="20"/>
                <w:szCs w:val="20"/>
              </w:rPr>
            </w:pPr>
          </w:p>
        </w:tc>
        <w:tc>
          <w:tcPr>
            <w:tcW w:w="283" w:type="dxa"/>
            <w:vMerge/>
            <w:tcBorders>
              <w:top w:val="nil"/>
              <w:left w:val="nil"/>
              <w:bottom w:val="nil"/>
              <w:right w:val="nil"/>
            </w:tcBorders>
          </w:tcPr>
          <w:p w14:paraId="68C536C8" w14:textId="77777777" w:rsidR="002B50D9" w:rsidRPr="002B50D9" w:rsidRDefault="002B50D9" w:rsidP="002B50D9">
            <w:pPr>
              <w:spacing w:before="120" w:after="0" w:line="240" w:lineRule="auto"/>
              <w:jc w:val="both"/>
              <w:rPr>
                <w:rFonts w:ascii="Times New Roman" w:eastAsia="Times New Roman" w:hAnsi="Times New Roman" w:cs="Times New Roman"/>
                <w:sz w:val="20"/>
                <w:szCs w:val="20"/>
              </w:rPr>
            </w:pPr>
          </w:p>
        </w:tc>
        <w:tc>
          <w:tcPr>
            <w:tcW w:w="6271" w:type="dxa"/>
            <w:tcBorders>
              <w:top w:val="nil"/>
              <w:left w:val="nil"/>
              <w:bottom w:val="single" w:sz="4" w:space="0" w:color="auto"/>
              <w:right w:val="nil"/>
            </w:tcBorders>
          </w:tcPr>
          <w:p w14:paraId="70D3955B" w14:textId="77777777" w:rsidR="002B50D9" w:rsidRPr="002B50D9" w:rsidRDefault="002B50D9" w:rsidP="002B50D9">
            <w:pPr>
              <w:spacing w:before="120" w:after="0" w:line="240" w:lineRule="auto"/>
              <w:rPr>
                <w:rFonts w:ascii="Times New Roman" w:eastAsia="Times New Roman" w:hAnsi="Times New Roman" w:cs="Times New Roman"/>
                <w:i/>
                <w:iCs/>
                <w:color w:val="000000"/>
                <w:sz w:val="20"/>
                <w:szCs w:val="20"/>
              </w:rPr>
            </w:pPr>
          </w:p>
        </w:tc>
      </w:tr>
      <w:tr w:rsidR="002B50D9" w:rsidRPr="002B50D9" w14:paraId="4625CE2A" w14:textId="77777777" w:rsidTr="00FC4A2B">
        <w:tc>
          <w:tcPr>
            <w:tcW w:w="9356" w:type="dxa"/>
            <w:gridSpan w:val="3"/>
            <w:tcBorders>
              <w:top w:val="nil"/>
              <w:left w:val="nil"/>
              <w:bottom w:val="double" w:sz="4" w:space="0" w:color="auto"/>
              <w:right w:val="nil"/>
            </w:tcBorders>
          </w:tcPr>
          <w:p w14:paraId="5EFA25F1" w14:textId="77777777" w:rsidR="002B50D9" w:rsidRPr="002B50D9" w:rsidRDefault="002B50D9" w:rsidP="002B50D9">
            <w:pPr>
              <w:spacing w:before="120" w:after="0" w:line="240" w:lineRule="auto"/>
              <w:rPr>
                <w:rFonts w:ascii="Times New Roman" w:eastAsia="Times New Roman" w:hAnsi="Times New Roman" w:cs="Times New Roman"/>
                <w:b/>
                <w:i/>
                <w:sz w:val="20"/>
                <w:szCs w:val="20"/>
              </w:rPr>
            </w:pPr>
            <w:r w:rsidRPr="002B50D9">
              <w:rPr>
                <w:rFonts w:ascii="Times New Roman" w:eastAsia="Times New Roman" w:hAnsi="Times New Roman" w:cs="Times New Roman"/>
                <w:b/>
                <w:i/>
                <w:sz w:val="20"/>
                <w:szCs w:val="20"/>
              </w:rPr>
              <w:t>Corresponding Author:</w:t>
            </w:r>
          </w:p>
          <w:p w14:paraId="3D8E8996" w14:textId="77777777" w:rsidR="002B50D9" w:rsidRPr="002B50D9" w:rsidRDefault="002B50D9" w:rsidP="002B50D9">
            <w:pPr>
              <w:spacing w:after="0" w:line="240" w:lineRule="auto"/>
              <w:rPr>
                <w:rFonts w:ascii="Times New Roman" w:eastAsia="Book Antiqua" w:hAnsi="Times New Roman" w:cs="Times New Roman"/>
                <w:b/>
                <w:color w:val="000000"/>
                <w:sz w:val="20"/>
                <w:szCs w:val="20"/>
                <w:lang w:val="id-ID"/>
              </w:rPr>
            </w:pPr>
            <w:r w:rsidRPr="002B50D9">
              <w:rPr>
                <w:rFonts w:ascii="Times New Roman" w:eastAsia="Book Antiqua" w:hAnsi="Times New Roman" w:cs="Times New Roman"/>
                <w:b/>
                <w:color w:val="000000"/>
                <w:sz w:val="20"/>
                <w:szCs w:val="20"/>
                <w:lang w:val="id-ID"/>
              </w:rPr>
              <w:t>Tegar</w:t>
            </w:r>
          </w:p>
          <w:p w14:paraId="20410A59" w14:textId="656E250F" w:rsidR="002B50D9" w:rsidRPr="002B50D9" w:rsidRDefault="002B50D9" w:rsidP="002B50D9">
            <w:pPr>
              <w:spacing w:after="0" w:line="240" w:lineRule="auto"/>
              <w:rPr>
                <w:rFonts w:ascii="Times New Roman" w:eastAsia="Times New Roman" w:hAnsi="Times New Roman" w:cs="Times New Roman"/>
                <w:sz w:val="20"/>
                <w:szCs w:val="20"/>
              </w:rPr>
            </w:pPr>
            <w:r w:rsidRPr="002B50D9">
              <w:rPr>
                <w:rFonts w:ascii="Times New Roman" w:eastAsia="Times New Roman" w:hAnsi="Times New Roman" w:cs="Times New Roman"/>
                <w:sz w:val="20"/>
                <w:szCs w:val="20"/>
              </w:rPr>
              <w:t>Unive</w:t>
            </w:r>
            <w:r>
              <w:rPr>
                <w:rFonts w:ascii="Times New Roman" w:eastAsia="Times New Roman" w:hAnsi="Times New Roman" w:cs="Times New Roman"/>
                <w:sz w:val="20"/>
                <w:szCs w:val="20"/>
              </w:rPr>
              <w:t>rsitas Sumatera Utara</w:t>
            </w:r>
          </w:p>
          <w:p w14:paraId="7A36BD6A" w14:textId="3416F188" w:rsidR="002B50D9" w:rsidRPr="002B50D9" w:rsidRDefault="002B50D9" w:rsidP="002B50D9">
            <w:pPr>
              <w:spacing w:after="0" w:line="240" w:lineRule="auto"/>
              <w:rPr>
                <w:rFonts w:ascii="Times New Roman" w:eastAsia="Times New Roman" w:hAnsi="Times New Roman" w:cs="Times New Roman"/>
                <w:sz w:val="20"/>
                <w:szCs w:val="20"/>
                <w:lang w:val="id-ID"/>
              </w:rPr>
            </w:pPr>
            <w:r w:rsidRPr="002B50D9">
              <w:rPr>
                <w:rFonts w:ascii="Times New Roman" w:eastAsia="Times New Roman" w:hAnsi="Times New Roman" w:cs="Times New Roman"/>
                <w:sz w:val="20"/>
                <w:szCs w:val="20"/>
              </w:rPr>
              <w:t>Jl. Tri Dharma No.9, Padang Bulan, Kec. Medan Baru, Kota Medan, Sumatera Utara 20222</w:t>
            </w:r>
            <w:r w:rsidRPr="002B50D9">
              <w:rPr>
                <w:rFonts w:ascii="Times New Roman" w:eastAsia="Times New Roman" w:hAnsi="Times New Roman" w:cs="Times New Roman"/>
                <w:sz w:val="20"/>
                <w:szCs w:val="20"/>
                <w:lang w:val="id-ID"/>
              </w:rPr>
              <w:t>, Indonesia</w:t>
            </w:r>
          </w:p>
          <w:p w14:paraId="210D777B" w14:textId="318426A6" w:rsidR="002B50D9" w:rsidRPr="002B50D9" w:rsidRDefault="002B50D9" w:rsidP="002B50D9">
            <w:pPr>
              <w:spacing w:after="0" w:line="240" w:lineRule="auto"/>
              <w:rPr>
                <w:rFonts w:ascii="Times New Roman" w:eastAsia="Times New Roman" w:hAnsi="Times New Roman" w:cs="Times New Roman"/>
                <w:sz w:val="20"/>
                <w:szCs w:val="20"/>
                <w:lang w:val="id-ID"/>
              </w:rPr>
            </w:pPr>
            <w:r w:rsidRPr="002B50D9">
              <w:rPr>
                <w:rFonts w:ascii="Times New Roman" w:eastAsia="Times New Roman" w:hAnsi="Times New Roman" w:cs="Times New Roman"/>
                <w:sz w:val="20"/>
                <w:szCs w:val="20"/>
                <w:lang w:val="id-ID"/>
              </w:rPr>
              <w:t>Email:</w:t>
            </w:r>
            <w:r w:rsidR="004F217D">
              <w:rPr>
                <w:rFonts w:ascii="Times New Roman" w:eastAsia="Times New Roman" w:hAnsi="Times New Roman" w:cs="Times New Roman"/>
                <w:sz w:val="20"/>
                <w:szCs w:val="20"/>
                <w:lang w:val="id-ID"/>
              </w:rPr>
              <w:t xml:space="preserve"> </w:t>
            </w:r>
            <w:hyperlink r:id="rId10" w:history="1">
              <w:r w:rsidR="004F217D" w:rsidRPr="002C2E6A">
                <w:rPr>
                  <w:rStyle w:val="Hyperlink"/>
                  <w:rFonts w:ascii="Times New Roman" w:eastAsia="Times New Roman" w:hAnsi="Times New Roman" w:cs="Times New Roman"/>
                  <w:sz w:val="20"/>
                  <w:szCs w:val="20"/>
                  <w:lang w:val="id-ID"/>
                </w:rPr>
                <w:t>hanifahazizah108@gmail.com</w:t>
              </w:r>
            </w:hyperlink>
            <w:r w:rsidR="004F217D">
              <w:rPr>
                <w:rFonts w:ascii="Times New Roman" w:eastAsia="Times New Roman" w:hAnsi="Times New Roman" w:cs="Times New Roman"/>
                <w:sz w:val="20"/>
                <w:szCs w:val="20"/>
                <w:lang w:val="id-ID"/>
              </w:rPr>
              <w:t xml:space="preserve"> </w:t>
            </w:r>
          </w:p>
          <w:p w14:paraId="1CAD79C9" w14:textId="77777777" w:rsidR="002B50D9" w:rsidRPr="002B50D9" w:rsidRDefault="002B50D9" w:rsidP="002B50D9">
            <w:pPr>
              <w:spacing w:after="0" w:line="240" w:lineRule="auto"/>
              <w:rPr>
                <w:rFonts w:ascii="Times New Roman" w:eastAsia="Times New Roman" w:hAnsi="Times New Roman" w:cs="Times New Roman"/>
                <w:color w:val="000000"/>
                <w:sz w:val="20"/>
                <w:szCs w:val="20"/>
              </w:rPr>
            </w:pPr>
          </w:p>
        </w:tc>
      </w:tr>
    </w:tbl>
    <w:p w14:paraId="0B8719BC" w14:textId="77777777" w:rsidR="002B50D9" w:rsidRDefault="002B50D9" w:rsidP="002B50D9">
      <w:pPr>
        <w:spacing w:after="0" w:line="240" w:lineRule="auto"/>
        <w:jc w:val="center"/>
        <w:rPr>
          <w:rFonts w:ascii="Times New Roman" w:eastAsia="Book Antiqua" w:hAnsi="Times New Roman" w:cs="Times New Roman"/>
          <w:szCs w:val="20"/>
        </w:rPr>
      </w:pPr>
    </w:p>
    <w:p w14:paraId="677C6C3C" w14:textId="77777777" w:rsidR="004138BC" w:rsidRPr="0015007B" w:rsidRDefault="004138BC" w:rsidP="0015007B">
      <w:pPr>
        <w:spacing w:after="0" w:line="240" w:lineRule="auto"/>
        <w:jc w:val="both"/>
        <w:rPr>
          <w:rFonts w:ascii="Times New Roman" w:eastAsia="Book Antiqua" w:hAnsi="Times New Roman" w:cs="Times New Roman"/>
          <w:sz w:val="20"/>
          <w:szCs w:val="20"/>
        </w:rPr>
      </w:pPr>
    </w:p>
    <w:p w14:paraId="1786E04D" w14:textId="77777777" w:rsidR="00C4579E" w:rsidRPr="00C4579E" w:rsidRDefault="00C4579E" w:rsidP="00C4579E">
      <w:pPr>
        <w:pStyle w:val="Heading1"/>
        <w:spacing w:before="0" w:after="0" w:line="240" w:lineRule="auto"/>
        <w:jc w:val="both"/>
        <w:rPr>
          <w:rFonts w:ascii="Times New Roman" w:eastAsia="Book Antiqua" w:hAnsi="Times New Roman" w:cs="Times New Roman"/>
          <w:sz w:val="20"/>
          <w:szCs w:val="24"/>
        </w:rPr>
      </w:pPr>
    </w:p>
    <w:p w14:paraId="2B5116A2" w14:textId="1F7980FF" w:rsidR="004138BC" w:rsidRPr="00C4579E" w:rsidRDefault="004138BC" w:rsidP="00C4579E">
      <w:pPr>
        <w:pStyle w:val="Heading1"/>
        <w:numPr>
          <w:ilvl w:val="0"/>
          <w:numId w:val="3"/>
        </w:numPr>
        <w:spacing w:before="0" w:after="0" w:line="240" w:lineRule="auto"/>
        <w:ind w:left="360"/>
        <w:jc w:val="both"/>
        <w:rPr>
          <w:rFonts w:ascii="Times New Roman" w:eastAsia="Book Antiqua" w:hAnsi="Times New Roman" w:cs="Times New Roman"/>
          <w:b/>
          <w:color w:val="auto"/>
          <w:sz w:val="20"/>
          <w:szCs w:val="20"/>
        </w:rPr>
      </w:pPr>
      <w:r w:rsidRPr="00C4579E">
        <w:rPr>
          <w:rFonts w:ascii="Times New Roman" w:eastAsia="Book Antiqua" w:hAnsi="Times New Roman" w:cs="Times New Roman"/>
          <w:b/>
          <w:color w:val="auto"/>
          <w:sz w:val="20"/>
          <w:szCs w:val="20"/>
        </w:rPr>
        <w:t>INTRODUCTION</w:t>
      </w:r>
    </w:p>
    <w:p w14:paraId="60DE20B6" w14:textId="77777777" w:rsidR="004138BC" w:rsidRPr="00C4579E" w:rsidRDefault="004138BC" w:rsidP="00C4579E">
      <w:pPr>
        <w:spacing w:after="0" w:line="240" w:lineRule="auto"/>
        <w:ind w:firstLine="709"/>
        <w:jc w:val="both"/>
        <w:rPr>
          <w:rFonts w:ascii="Times New Roman" w:eastAsia="Book Antiqua" w:hAnsi="Times New Roman" w:cs="Times New Roman"/>
          <w:sz w:val="20"/>
          <w:szCs w:val="20"/>
        </w:rPr>
      </w:pPr>
      <w:bookmarkStart w:id="0" w:name="_30j0zll" w:colFirst="0" w:colLast="0"/>
      <w:bookmarkEnd w:id="0"/>
      <w:r w:rsidRPr="00C4579E">
        <w:rPr>
          <w:rFonts w:ascii="Times New Roman" w:eastAsia="Book Antiqua" w:hAnsi="Times New Roman" w:cs="Times New Roman"/>
          <w:sz w:val="20"/>
          <w:szCs w:val="20"/>
        </w:rPr>
        <w:t xml:space="preserve">The global fight against sophisticated financial crimes, including corruption, money laundering, and transnational organized crime, demands legal instruments that can effectively target and dismantle the economic </w:t>
      </w:r>
      <w:r w:rsidRPr="00C4579E">
        <w:rPr>
          <w:rFonts w:ascii="Times New Roman" w:eastAsia="Book Antiqua" w:hAnsi="Times New Roman" w:cs="Times New Roman"/>
          <w:sz w:val="20"/>
          <w:szCs w:val="20"/>
        </w:rPr>
        <w:lastRenderedPageBreak/>
        <w:t>foundations of criminal enterprises.</w:t>
      </w:r>
      <w:r w:rsidRPr="00C4579E">
        <w:rPr>
          <w:rStyle w:val="FootnoteReference"/>
          <w:rFonts w:ascii="Times New Roman" w:eastAsia="Book Antiqua" w:hAnsi="Times New Roman" w:cs="Times New Roman"/>
          <w:sz w:val="20"/>
          <w:szCs w:val="20"/>
        </w:rPr>
        <w:footnoteReference w:id="1"/>
      </w:r>
      <w:r w:rsidRPr="00C4579E">
        <w:rPr>
          <w:rFonts w:ascii="Times New Roman" w:eastAsia="Book Antiqua" w:hAnsi="Times New Roman" w:cs="Times New Roman"/>
          <w:sz w:val="20"/>
          <w:szCs w:val="20"/>
        </w:rPr>
        <w:t xml:space="preserve"> Among the most potent of these tools is Non-Conviction-Based Asset Forfeiture (NCB-AF), a legal mechanism that allows states to seize and forfeit assets derived from illicit activities without requiring a prior criminal conviction.</w:t>
      </w:r>
      <w:r w:rsidRPr="00C4579E">
        <w:rPr>
          <w:rStyle w:val="FootnoteReference"/>
          <w:rFonts w:ascii="Times New Roman" w:eastAsia="Book Antiqua" w:hAnsi="Times New Roman" w:cs="Times New Roman"/>
          <w:sz w:val="20"/>
          <w:szCs w:val="20"/>
        </w:rPr>
        <w:footnoteReference w:id="2"/>
      </w:r>
      <w:r w:rsidRPr="00C4579E">
        <w:rPr>
          <w:rFonts w:ascii="Times New Roman" w:eastAsia="Book Antiqua" w:hAnsi="Times New Roman" w:cs="Times New Roman"/>
          <w:sz w:val="20"/>
          <w:szCs w:val="20"/>
        </w:rPr>
        <w:t xml:space="preserve"> The fundamental principle of NCB-AF is that the action is taken against the property itself (</w:t>
      </w:r>
      <w:r w:rsidRPr="00C4579E">
        <w:rPr>
          <w:rFonts w:ascii="Times New Roman" w:eastAsia="Book Antiqua" w:hAnsi="Times New Roman" w:cs="Times New Roman"/>
          <w:i/>
          <w:iCs/>
          <w:sz w:val="20"/>
          <w:szCs w:val="20"/>
        </w:rPr>
        <w:t>in rem</w:t>
      </w:r>
      <w:r w:rsidRPr="00C4579E">
        <w:rPr>
          <w:rFonts w:ascii="Times New Roman" w:eastAsia="Book Antiqua" w:hAnsi="Times New Roman" w:cs="Times New Roman"/>
          <w:sz w:val="20"/>
          <w:szCs w:val="20"/>
        </w:rPr>
        <w:t>), based on its illicit origin, rather than against an individual. This approach is crucial for situations where a conviction is impossible, such as when the suspect is deceased, fugitive, or immunized from prosecution, yet the recovery of illicit assets remains a public priority.</w:t>
      </w:r>
    </w:p>
    <w:p w14:paraId="4499DA7B" w14:textId="77777777" w:rsidR="004138BC" w:rsidRPr="00C4579E" w:rsidRDefault="004138BC" w:rsidP="00C4579E">
      <w:pPr>
        <w:spacing w:after="0" w:line="240" w:lineRule="auto"/>
        <w:ind w:firstLine="709"/>
        <w:jc w:val="both"/>
        <w:rPr>
          <w:rFonts w:ascii="Times New Roman" w:eastAsia="Book Antiqua" w:hAnsi="Times New Roman" w:cs="Times New Roman"/>
          <w:sz w:val="20"/>
          <w:szCs w:val="20"/>
        </w:rPr>
      </w:pPr>
      <w:r w:rsidRPr="00C4579E">
        <w:rPr>
          <w:rFonts w:ascii="Times New Roman" w:eastAsia="Book Antiqua" w:hAnsi="Times New Roman" w:cs="Times New Roman"/>
          <w:sz w:val="20"/>
          <w:szCs w:val="20"/>
        </w:rPr>
        <w:t>Why focus specifically on asset forfeiture, NCB, and the Rule of Law? As stated above, without the Rule of Law that ensures legal certainty, transparency and accountability, and access to justice and rights, NCB forfeiture risks infringing on property and human rights. Thus, the Rule of Law is clearly an enabler in cases involving asset forfeiture and NCB. Little wonder that the UN Convention Against Corruption (UNCAC) also recognises the importance of the Rule of Law and due process of law to adjudicate property rights, both in the preamble and opening articles on preventive measures. Moreover, the prosecution of corruption often takes an international dimension, and courts in many jurisdictions can only accept evidence (e.g., gathered in ‘victim’ countries) which meets certain exacting Rule of Law standards. Thus, developing the local investigative, prosecutorial, and legal ecosystem in ‘victim’ countries in a manner that is Rule of Law compliant is fundamental.</w:t>
      </w:r>
      <w:r w:rsidRPr="00C4579E">
        <w:rPr>
          <w:rStyle w:val="FootnoteReference"/>
          <w:rFonts w:ascii="Times New Roman" w:eastAsia="Book Antiqua" w:hAnsi="Times New Roman" w:cs="Times New Roman"/>
          <w:sz w:val="20"/>
          <w:szCs w:val="20"/>
        </w:rPr>
        <w:footnoteReference w:id="3"/>
      </w:r>
      <w:r w:rsidRPr="00C4579E">
        <w:rPr>
          <w:rFonts w:ascii="Times New Roman" w:eastAsia="Book Antiqua" w:hAnsi="Times New Roman" w:cs="Times New Roman"/>
          <w:sz w:val="20"/>
          <w:szCs w:val="20"/>
        </w:rPr>
        <w:t xml:space="preserve"> Recognizing its utility, major international frameworks have championed the adoption of NCB-AF. Instruments such as the United Nations Convention against Corruption (UNCAC) and the recommendations of the Financial Action Task Force (FATF) explicitly encourage member states to establish such mechanisms to enhance asset recovery efforts.</w:t>
      </w:r>
      <w:r w:rsidRPr="00C4579E">
        <w:rPr>
          <w:rStyle w:val="FootnoteReference"/>
          <w:rFonts w:ascii="Times New Roman" w:eastAsia="Book Antiqua" w:hAnsi="Times New Roman" w:cs="Times New Roman"/>
          <w:sz w:val="20"/>
          <w:szCs w:val="20"/>
        </w:rPr>
        <w:footnoteReference w:id="4"/>
      </w:r>
      <w:r w:rsidRPr="00C4579E">
        <w:rPr>
          <w:rFonts w:ascii="Times New Roman" w:eastAsia="Book Antiqua" w:hAnsi="Times New Roman" w:cs="Times New Roman"/>
          <w:sz w:val="20"/>
          <w:szCs w:val="20"/>
        </w:rPr>
        <w:t xml:space="preserve"> </w:t>
      </w:r>
    </w:p>
    <w:p w14:paraId="5D5F7DE5" w14:textId="77777777" w:rsidR="004138BC" w:rsidRDefault="004138BC" w:rsidP="00C4579E">
      <w:pPr>
        <w:spacing w:after="0" w:line="240" w:lineRule="auto"/>
        <w:ind w:firstLine="709"/>
        <w:jc w:val="both"/>
        <w:rPr>
          <w:rFonts w:ascii="Times New Roman" w:eastAsia="Book Antiqua" w:hAnsi="Times New Roman" w:cs="Times New Roman"/>
          <w:sz w:val="20"/>
          <w:szCs w:val="20"/>
        </w:rPr>
      </w:pPr>
      <w:r w:rsidRPr="00C4579E">
        <w:rPr>
          <w:rFonts w:ascii="Times New Roman" w:eastAsia="Book Antiqua" w:hAnsi="Times New Roman" w:cs="Times New Roman"/>
          <w:sz w:val="20"/>
          <w:szCs w:val="20"/>
        </w:rPr>
        <w:t>However, the power of NCB-AF is a double-edged sword; while it significantly enhances the state’s capacity to combat impunity, it also raises profound concerns regarding the protection of property rights, the presumption of innocence, and other fundamental due process guarantees.</w:t>
      </w:r>
      <w:r w:rsidRPr="00C4579E">
        <w:rPr>
          <w:rStyle w:val="FootnoteReference"/>
          <w:rFonts w:ascii="Times New Roman" w:eastAsia="Book Antiqua" w:hAnsi="Times New Roman" w:cs="Times New Roman"/>
          <w:sz w:val="20"/>
          <w:szCs w:val="20"/>
        </w:rPr>
        <w:footnoteReference w:id="5"/>
      </w:r>
      <w:r w:rsidRPr="00C4579E">
        <w:rPr>
          <w:rFonts w:ascii="Times New Roman" w:eastAsia="Book Antiqua" w:hAnsi="Times New Roman" w:cs="Times New Roman"/>
          <w:sz w:val="20"/>
          <w:szCs w:val="20"/>
        </w:rPr>
        <w:t xml:space="preserve"> The central challenge for legislators, therefore, is to design an NCB-AF regime that is both effective in crippling criminal operations and scrupulous in upholding constitutional and human rights standards.</w:t>
      </w:r>
    </w:p>
    <w:p w14:paraId="76F3ABB6" w14:textId="77777777" w:rsidR="00C4579E" w:rsidRPr="00C4579E" w:rsidRDefault="00C4579E" w:rsidP="00C4579E">
      <w:pPr>
        <w:spacing w:after="0" w:line="240" w:lineRule="auto"/>
        <w:ind w:firstLine="709"/>
        <w:jc w:val="both"/>
        <w:rPr>
          <w:rFonts w:ascii="Times New Roman" w:eastAsia="Book Antiqua" w:hAnsi="Times New Roman" w:cs="Times New Roman"/>
          <w:sz w:val="20"/>
          <w:szCs w:val="20"/>
        </w:rPr>
      </w:pPr>
    </w:p>
    <w:p w14:paraId="336D9288" w14:textId="77777777" w:rsidR="004138BC" w:rsidRPr="00C4579E" w:rsidRDefault="004138BC" w:rsidP="00C4579E">
      <w:pPr>
        <w:pStyle w:val="Heading1"/>
        <w:numPr>
          <w:ilvl w:val="0"/>
          <w:numId w:val="3"/>
        </w:numPr>
        <w:spacing w:before="0" w:after="0" w:line="240" w:lineRule="auto"/>
        <w:ind w:left="360"/>
        <w:jc w:val="both"/>
        <w:rPr>
          <w:rFonts w:ascii="Times New Roman" w:eastAsia="Book Antiqua" w:hAnsi="Times New Roman" w:cs="Times New Roman"/>
          <w:b/>
          <w:color w:val="auto"/>
          <w:sz w:val="20"/>
          <w:szCs w:val="20"/>
        </w:rPr>
      </w:pPr>
      <w:r w:rsidRPr="00C4579E">
        <w:rPr>
          <w:rFonts w:ascii="Times New Roman" w:eastAsia="Book Antiqua" w:hAnsi="Times New Roman" w:cs="Times New Roman"/>
          <w:b/>
          <w:color w:val="auto"/>
          <w:sz w:val="20"/>
          <w:szCs w:val="20"/>
        </w:rPr>
        <w:t>RESEARCH PROBLEMS</w:t>
      </w:r>
    </w:p>
    <w:p w14:paraId="0D9B4B2B" w14:textId="77777777" w:rsidR="004138BC" w:rsidRPr="00C4579E" w:rsidRDefault="004138BC" w:rsidP="00C4579E">
      <w:pPr>
        <w:spacing w:after="0" w:line="240" w:lineRule="auto"/>
        <w:ind w:firstLine="720"/>
        <w:jc w:val="both"/>
        <w:rPr>
          <w:rFonts w:ascii="Times New Roman" w:hAnsi="Times New Roman" w:cs="Times New Roman"/>
          <w:sz w:val="20"/>
          <w:szCs w:val="20"/>
        </w:rPr>
      </w:pPr>
      <w:r w:rsidRPr="00C4579E">
        <w:rPr>
          <w:rFonts w:ascii="Times New Roman" w:eastAsia="Book Antiqua" w:hAnsi="Times New Roman" w:cs="Times New Roman"/>
          <w:sz w:val="20"/>
          <w:szCs w:val="20"/>
        </w:rPr>
        <w:t>Based on the abstract provided, the core research problem is to determine how Indonesia can design an effective Non-Conviction Based Asset Forfeiture (NCB-AF) law that balances international asset recovery standards with domestic constitutional protections.</w:t>
      </w:r>
      <w:r w:rsidRPr="00C4579E">
        <w:rPr>
          <w:rStyle w:val="FootnoteReference"/>
          <w:rFonts w:ascii="Times New Roman" w:eastAsia="Book Antiqua" w:hAnsi="Times New Roman" w:cs="Times New Roman"/>
          <w:sz w:val="20"/>
          <w:szCs w:val="20"/>
        </w:rPr>
        <w:footnoteReference w:id="6"/>
      </w:r>
      <w:r w:rsidRPr="00C4579E">
        <w:rPr>
          <w:rFonts w:ascii="Times New Roman" w:eastAsia="Book Antiqua" w:hAnsi="Times New Roman" w:cs="Times New Roman"/>
          <w:sz w:val="20"/>
          <w:szCs w:val="20"/>
        </w:rPr>
        <w:t xml:space="preserve"> This central issue is investigated through two specific questions: first, what are the operational mechanisms and comparative effectiveness of NCB-AF models in jurisdictions like the United States and the United Kingdom?</w:t>
      </w:r>
      <w:r w:rsidRPr="00C4579E">
        <w:rPr>
          <w:rStyle w:val="FootnoteReference"/>
          <w:rFonts w:ascii="Times New Roman" w:eastAsia="Book Antiqua" w:hAnsi="Times New Roman" w:cs="Times New Roman"/>
          <w:sz w:val="20"/>
          <w:szCs w:val="20"/>
        </w:rPr>
        <w:footnoteReference w:id="7"/>
      </w:r>
      <w:r w:rsidRPr="00C4579E">
        <w:rPr>
          <w:rFonts w:ascii="Times New Roman" w:eastAsia="Book Antiqua" w:hAnsi="Times New Roman" w:cs="Times New Roman"/>
          <w:sz w:val="20"/>
          <w:szCs w:val="20"/>
        </w:rPr>
        <w:t xml:space="preserve"> and second, which principles from these models can be adapted to create a proportional Indonesian framework that safeguards due process while disrupting criminal enterprises?</w:t>
      </w:r>
      <w:r w:rsidRPr="00C4579E">
        <w:rPr>
          <w:rStyle w:val="FootnoteReference"/>
          <w:rFonts w:ascii="Times New Roman" w:eastAsia="Book Antiqua" w:hAnsi="Times New Roman" w:cs="Times New Roman"/>
          <w:sz w:val="20"/>
          <w:szCs w:val="20"/>
        </w:rPr>
        <w:footnoteReference w:id="8"/>
      </w:r>
    </w:p>
    <w:p w14:paraId="199F6958" w14:textId="77777777" w:rsidR="004138BC" w:rsidRPr="00C4579E" w:rsidRDefault="004138BC" w:rsidP="00C4579E">
      <w:pPr>
        <w:pStyle w:val="Heading1"/>
        <w:numPr>
          <w:ilvl w:val="0"/>
          <w:numId w:val="3"/>
        </w:numPr>
        <w:spacing w:before="0" w:after="0" w:line="240" w:lineRule="auto"/>
        <w:ind w:left="360"/>
        <w:jc w:val="both"/>
        <w:rPr>
          <w:rFonts w:ascii="Times New Roman" w:eastAsia="Book Antiqua" w:hAnsi="Times New Roman" w:cs="Times New Roman"/>
          <w:b/>
          <w:color w:val="auto"/>
          <w:sz w:val="20"/>
          <w:szCs w:val="20"/>
        </w:rPr>
      </w:pPr>
      <w:r w:rsidRPr="00C4579E">
        <w:rPr>
          <w:rFonts w:ascii="Times New Roman" w:eastAsia="Book Antiqua" w:hAnsi="Times New Roman" w:cs="Times New Roman"/>
          <w:b/>
          <w:color w:val="auto"/>
          <w:sz w:val="20"/>
          <w:szCs w:val="20"/>
        </w:rPr>
        <w:t>RESEARCH METHODS</w:t>
      </w:r>
    </w:p>
    <w:p w14:paraId="13991BB4" w14:textId="77777777" w:rsidR="004138BC" w:rsidRPr="00C4579E" w:rsidRDefault="004138BC" w:rsidP="00C4579E">
      <w:pPr>
        <w:spacing w:after="0" w:line="240" w:lineRule="auto"/>
        <w:ind w:firstLine="720"/>
        <w:jc w:val="both"/>
        <w:rPr>
          <w:rFonts w:ascii="Times New Roman" w:eastAsia="Book Antiqua" w:hAnsi="Times New Roman" w:cs="Times New Roman"/>
          <w:sz w:val="20"/>
          <w:szCs w:val="20"/>
        </w:rPr>
      </w:pPr>
      <w:r w:rsidRPr="00C4579E">
        <w:rPr>
          <w:rFonts w:ascii="Times New Roman" w:eastAsia="Book Antiqua" w:hAnsi="Times New Roman" w:cs="Times New Roman"/>
          <w:sz w:val="20"/>
          <w:szCs w:val="20"/>
        </w:rPr>
        <w:t xml:space="preserve">This paper employs a normative legal research methodology with a comparative law approach to analyze non-conviction-based asset forfeiture (NCB-AF) frameworks. </w:t>
      </w:r>
      <w:r w:rsidRPr="00C4579E">
        <w:rPr>
          <w:rStyle w:val="FootnoteReference"/>
          <w:rFonts w:ascii="Times New Roman" w:eastAsia="Book Antiqua" w:hAnsi="Times New Roman" w:cs="Times New Roman"/>
          <w:sz w:val="20"/>
          <w:szCs w:val="20"/>
        </w:rPr>
        <w:footnoteReference w:id="9"/>
      </w:r>
      <w:r w:rsidRPr="00C4579E">
        <w:rPr>
          <w:rFonts w:ascii="Times New Roman" w:eastAsia="Book Antiqua" w:hAnsi="Times New Roman" w:cs="Times New Roman"/>
          <w:sz w:val="20"/>
          <w:szCs w:val="20"/>
        </w:rPr>
        <w:t xml:space="preserve"> related into Law and normative is identical to library legal research that leads to practical aspects of a concrete problem through research on facts related to legal regulations and questions to be solved on an existing legal issue.</w:t>
      </w:r>
      <w:r w:rsidRPr="00C4579E">
        <w:rPr>
          <w:rStyle w:val="FootnoteReference"/>
          <w:rFonts w:ascii="Times New Roman" w:eastAsia="Book Antiqua" w:hAnsi="Times New Roman" w:cs="Times New Roman"/>
          <w:sz w:val="20"/>
          <w:szCs w:val="20"/>
        </w:rPr>
        <w:footnoteReference w:id="10"/>
      </w:r>
      <w:r w:rsidRPr="00C4579E">
        <w:rPr>
          <w:rFonts w:ascii="Times New Roman" w:eastAsia="Book Antiqua" w:hAnsi="Times New Roman" w:cs="Times New Roman"/>
          <w:sz w:val="20"/>
          <w:szCs w:val="20"/>
        </w:rPr>
        <w:t xml:space="preserve"> The analysis focuses on the legal statutes and </w:t>
      </w:r>
      <w:r w:rsidRPr="00C4579E">
        <w:rPr>
          <w:rFonts w:ascii="Times New Roman" w:eastAsia="Book Antiqua" w:hAnsi="Times New Roman" w:cs="Times New Roman"/>
          <w:sz w:val="20"/>
          <w:szCs w:val="20"/>
        </w:rPr>
        <w:lastRenderedPageBreak/>
        <w:t>implementation models—such as civil </w:t>
      </w:r>
      <w:r w:rsidRPr="00C4579E">
        <w:rPr>
          <w:rFonts w:ascii="Times New Roman" w:eastAsia="Book Antiqua" w:hAnsi="Times New Roman" w:cs="Times New Roman"/>
          <w:i/>
          <w:iCs/>
          <w:sz w:val="20"/>
          <w:szCs w:val="20"/>
        </w:rPr>
        <w:t>in rem</w:t>
      </w:r>
      <w:r w:rsidRPr="00C4579E">
        <w:rPr>
          <w:rFonts w:ascii="Times New Roman" w:eastAsia="Book Antiqua" w:hAnsi="Times New Roman" w:cs="Times New Roman"/>
          <w:sz w:val="20"/>
          <w:szCs w:val="20"/>
        </w:rPr>
        <w:t> proceedings and unexplained wealth orders—in the United States, the United Kingdom, benchmarking them against international standards like the UN Convention against Corruption (UNCAC) and FATF recommendations.</w:t>
      </w:r>
      <w:r w:rsidRPr="00C4579E">
        <w:rPr>
          <w:rStyle w:val="FootnoteReference"/>
          <w:rFonts w:ascii="Times New Roman" w:eastAsia="Book Antiqua" w:hAnsi="Times New Roman" w:cs="Times New Roman"/>
          <w:sz w:val="20"/>
          <w:szCs w:val="20"/>
        </w:rPr>
        <w:footnoteReference w:id="11"/>
      </w:r>
      <w:r w:rsidRPr="00C4579E">
        <w:rPr>
          <w:rFonts w:ascii="Times New Roman" w:eastAsia="Book Antiqua" w:hAnsi="Times New Roman" w:cs="Times New Roman"/>
          <w:sz w:val="20"/>
          <w:szCs w:val="20"/>
        </w:rPr>
        <w:t xml:space="preserve"> Through a systematic comparison of primary legal sources, including national legislation and significant case law, the research identifies operational strengths, human rights safeguards, and challenges in international cooperation.</w:t>
      </w:r>
      <w:r w:rsidRPr="00C4579E">
        <w:rPr>
          <w:rStyle w:val="FootnoteReference"/>
          <w:rFonts w:ascii="Times New Roman" w:eastAsia="Book Antiqua" w:hAnsi="Times New Roman" w:cs="Times New Roman"/>
          <w:sz w:val="20"/>
          <w:szCs w:val="20"/>
        </w:rPr>
        <w:footnoteReference w:id="12"/>
      </w:r>
      <w:r w:rsidRPr="00C4579E">
        <w:rPr>
          <w:rFonts w:ascii="Times New Roman" w:eastAsia="Book Antiqua" w:hAnsi="Times New Roman" w:cs="Times New Roman"/>
          <w:sz w:val="20"/>
          <w:szCs w:val="20"/>
        </w:rPr>
        <w:t xml:space="preserve"> The subsequent findings aim to propose a balanced and effective NCB-AF model for Indonesia that aligns with global norms while upholding constitutional due process protections. </w:t>
      </w:r>
      <w:r w:rsidRPr="00C4579E">
        <w:rPr>
          <w:rStyle w:val="FootnoteReference"/>
          <w:rFonts w:ascii="Times New Roman" w:eastAsia="Book Antiqua" w:hAnsi="Times New Roman" w:cs="Times New Roman"/>
          <w:sz w:val="20"/>
          <w:szCs w:val="20"/>
        </w:rPr>
        <w:footnoteReference w:id="13"/>
      </w:r>
      <w:r w:rsidRPr="00C4579E">
        <w:rPr>
          <w:rFonts w:ascii="Times New Roman" w:eastAsia="Book Antiqua" w:hAnsi="Times New Roman" w:cs="Times New Roman"/>
          <w:sz w:val="20"/>
          <w:szCs w:val="20"/>
        </w:rPr>
        <w:t xml:space="preserve"> </w:t>
      </w:r>
    </w:p>
    <w:p w14:paraId="73C88DD9" w14:textId="77777777" w:rsidR="004138BC" w:rsidRPr="00C4579E" w:rsidRDefault="004138BC" w:rsidP="00C4579E">
      <w:pPr>
        <w:spacing w:after="0" w:line="240" w:lineRule="auto"/>
        <w:ind w:firstLine="567"/>
        <w:jc w:val="both"/>
        <w:rPr>
          <w:rFonts w:ascii="Times New Roman" w:eastAsia="Book Antiqua" w:hAnsi="Times New Roman" w:cs="Times New Roman"/>
          <w:sz w:val="20"/>
          <w:szCs w:val="20"/>
        </w:rPr>
      </w:pPr>
    </w:p>
    <w:p w14:paraId="6FF6A648" w14:textId="77777777" w:rsidR="004138BC" w:rsidRPr="00C4579E" w:rsidRDefault="004138BC" w:rsidP="00C4579E">
      <w:pPr>
        <w:pStyle w:val="Heading1"/>
        <w:numPr>
          <w:ilvl w:val="0"/>
          <w:numId w:val="3"/>
        </w:numPr>
        <w:spacing w:before="0" w:after="0" w:line="240" w:lineRule="auto"/>
        <w:ind w:left="360"/>
        <w:jc w:val="both"/>
        <w:rPr>
          <w:rFonts w:ascii="Times New Roman" w:eastAsia="Book Antiqua" w:hAnsi="Times New Roman" w:cs="Times New Roman"/>
          <w:b/>
          <w:color w:val="auto"/>
          <w:sz w:val="20"/>
          <w:szCs w:val="20"/>
        </w:rPr>
      </w:pPr>
      <w:r w:rsidRPr="00C4579E">
        <w:rPr>
          <w:rFonts w:ascii="Times New Roman" w:eastAsia="Book Antiqua" w:hAnsi="Times New Roman" w:cs="Times New Roman"/>
          <w:b/>
          <w:color w:val="auto"/>
          <w:sz w:val="20"/>
          <w:szCs w:val="20"/>
        </w:rPr>
        <w:t>RESULT AND DISCUSSION</w:t>
      </w:r>
    </w:p>
    <w:p w14:paraId="1563A4F0" w14:textId="5C57F39E" w:rsidR="004138BC" w:rsidRPr="00C4579E" w:rsidRDefault="004138BC" w:rsidP="00C4579E">
      <w:pPr>
        <w:spacing w:after="0" w:line="240" w:lineRule="auto"/>
        <w:jc w:val="both"/>
        <w:rPr>
          <w:rFonts w:ascii="Times New Roman" w:eastAsia="Book Antiqua" w:hAnsi="Times New Roman" w:cs="Times New Roman"/>
          <w:b/>
          <w:bCs/>
          <w:color w:val="000000"/>
          <w:sz w:val="20"/>
          <w:szCs w:val="20"/>
        </w:rPr>
      </w:pPr>
      <w:r w:rsidRPr="00C4579E">
        <w:rPr>
          <w:rFonts w:ascii="Times New Roman" w:eastAsia="Book Antiqua" w:hAnsi="Times New Roman" w:cs="Times New Roman"/>
          <w:b/>
          <w:bCs/>
          <w:color w:val="000000"/>
          <w:sz w:val="20"/>
          <w:szCs w:val="20"/>
        </w:rPr>
        <w:t>Legal Framework and Practice of NCB Asset Forfeiture in the United States</w:t>
      </w:r>
    </w:p>
    <w:p w14:paraId="2ABB5358" w14:textId="77777777" w:rsidR="004138BC" w:rsidRPr="00C4579E" w:rsidRDefault="004138BC" w:rsidP="00C4579E">
      <w:pPr>
        <w:spacing w:after="0" w:line="240" w:lineRule="auto"/>
        <w:ind w:firstLine="720"/>
        <w:jc w:val="both"/>
        <w:rPr>
          <w:rFonts w:ascii="Times New Roman" w:eastAsia="Book Antiqua" w:hAnsi="Times New Roman" w:cs="Times New Roman"/>
          <w:sz w:val="20"/>
          <w:szCs w:val="20"/>
        </w:rPr>
      </w:pPr>
      <w:r w:rsidRPr="00C4579E">
        <w:rPr>
          <w:rFonts w:ascii="Times New Roman" w:eastAsia="Book Antiqua" w:hAnsi="Times New Roman" w:cs="Times New Roman"/>
          <w:sz w:val="20"/>
          <w:szCs w:val="20"/>
        </w:rPr>
        <w:t xml:space="preserve">The writing of the Results and Discussion section presents the research findings, followed by a scientific discussion. The description of the discussion in the Results and Discussion chapter is descriptive, analytical, and critical. The description of the discussion must be adjusted to the sequence of legal issues that are the main elements of the study. Theories included in the theoretical framework should be cited in this chapter. The state of the art listed in the Introduction Section is also reviewed and elaborated in the Results and Discussion Section. The analysis in the Results and Discussion section can be supported by a table that is presented horizontally. </w:t>
      </w:r>
      <w:r w:rsidRPr="00C4579E">
        <w:rPr>
          <w:rFonts w:ascii="Times New Roman" w:hAnsi="Times New Roman" w:cs="Times New Roman"/>
          <w:sz w:val="20"/>
          <w:szCs w:val="20"/>
        </w:rPr>
        <w:t>Initially, if assets were located within US jurisdiction but the offense was committed overseas under another country's criminal laws, US federal courts lacked the authority to prosecute the matter, either criminally or civilly. Thus, US courts' jurisdiction did not initially extend to cross-border cases that were not directly tied to violations of domestic law.</w:t>
      </w:r>
      <w:r w:rsidRPr="00C4579E">
        <w:rPr>
          <w:rStyle w:val="FootnoteReference"/>
          <w:rFonts w:ascii="Times New Roman" w:hAnsi="Times New Roman" w:cs="Times New Roman"/>
          <w:sz w:val="20"/>
          <w:szCs w:val="20"/>
        </w:rPr>
        <w:footnoteReference w:id="14"/>
      </w:r>
      <w:r w:rsidRPr="00C4579E">
        <w:rPr>
          <w:rFonts w:ascii="Times New Roman" w:hAnsi="Times New Roman" w:cs="Times New Roman"/>
          <w:sz w:val="20"/>
          <w:szCs w:val="20"/>
        </w:rPr>
        <w:t xml:space="preserve"> </w:t>
      </w:r>
      <w:r w:rsidRPr="00C4579E">
        <w:rPr>
          <w:rFonts w:ascii="Times New Roman" w:hAnsi="Times New Roman" w:cs="Times New Roman"/>
          <w:sz w:val="20"/>
          <w:szCs w:val="20"/>
          <w:lang w:val="en"/>
        </w:rPr>
        <w:t>A significant change to civil jurisdiction in cross-border asset forfeiture occurred with the enactment of the USA PATRIOT Act in 2001</w:t>
      </w:r>
      <w:r w:rsidRPr="00C4579E">
        <w:rPr>
          <w:rFonts w:ascii="Times New Roman" w:hAnsi="Times New Roman" w:cs="Times New Roman"/>
          <w:sz w:val="20"/>
          <w:szCs w:val="20"/>
        </w:rPr>
        <w:t>.</w:t>
      </w:r>
      <w:r w:rsidRPr="00C4579E">
        <w:rPr>
          <w:rStyle w:val="FootnoteReference"/>
          <w:rFonts w:ascii="Times New Roman" w:hAnsi="Times New Roman" w:cs="Times New Roman"/>
          <w:sz w:val="20"/>
          <w:szCs w:val="20"/>
        </w:rPr>
        <w:footnoteReference w:id="15"/>
      </w:r>
      <w:r w:rsidRPr="00C4579E">
        <w:rPr>
          <w:rFonts w:ascii="Times New Roman" w:hAnsi="Times New Roman" w:cs="Times New Roman"/>
          <w:sz w:val="20"/>
          <w:szCs w:val="20"/>
        </w:rPr>
        <w:t xml:space="preserve"> </w:t>
      </w:r>
      <w:r w:rsidRPr="00C4579E">
        <w:rPr>
          <w:rFonts w:ascii="Times New Roman" w:hAnsi="Times New Roman" w:cs="Times New Roman"/>
          <w:sz w:val="20"/>
          <w:szCs w:val="20"/>
          <w:lang w:val="en"/>
        </w:rPr>
        <w:t xml:space="preserve">Through the provisions of 18 U.S.C. </w:t>
      </w:r>
      <w:r w:rsidRPr="00C4579E">
        <w:rPr>
          <w:rFonts w:ascii="Times New Roman" w:hAnsi="Times New Roman" w:cs="Times New Roman"/>
          <w:i/>
          <w:iCs/>
          <w:sz w:val="20"/>
          <w:szCs w:val="20"/>
          <w:lang w:val="en"/>
        </w:rPr>
        <w:t>§</w:t>
      </w:r>
      <w:r w:rsidRPr="00C4579E">
        <w:rPr>
          <w:rFonts w:ascii="Times New Roman" w:hAnsi="Times New Roman" w:cs="Times New Roman"/>
          <w:sz w:val="20"/>
          <w:szCs w:val="20"/>
          <w:lang w:val="en"/>
        </w:rPr>
        <w:t xml:space="preserve"> 981(a)(1)(B) and § 1956(c)(7)(B), United States federal law began to allow for civil actions to seize assets derived from crimes committed abroad. This provision covers certain crimes such as corruption of public officials, violent crimes, banking fraud, and other serious offenses contrary to the laws of the country where the crime occurred, as long as the assets are located within the United States. This provision expands the scope of United States civil jurisdiction to support international cooperation in combating transnational crime</w:t>
      </w:r>
      <w:r w:rsidRPr="00C4579E">
        <w:rPr>
          <w:rFonts w:ascii="Times New Roman" w:hAnsi="Times New Roman" w:cs="Times New Roman"/>
          <w:sz w:val="20"/>
          <w:szCs w:val="20"/>
        </w:rPr>
        <w:t>.</w:t>
      </w:r>
      <w:r w:rsidRPr="00C4579E">
        <w:rPr>
          <w:rStyle w:val="FootnoteReference"/>
          <w:rFonts w:ascii="Times New Roman" w:hAnsi="Times New Roman" w:cs="Times New Roman"/>
          <w:sz w:val="20"/>
          <w:szCs w:val="20"/>
        </w:rPr>
        <w:footnoteReference w:id="16"/>
      </w:r>
      <w:r w:rsidRPr="00C4579E">
        <w:rPr>
          <w:rFonts w:ascii="Times New Roman" w:hAnsi="Times New Roman" w:cs="Times New Roman"/>
          <w:sz w:val="20"/>
          <w:szCs w:val="20"/>
        </w:rPr>
        <w:t xml:space="preserve"> </w:t>
      </w:r>
    </w:p>
    <w:p w14:paraId="6F792DBC" w14:textId="77777777" w:rsidR="004138BC" w:rsidRPr="00C4579E" w:rsidRDefault="004138BC" w:rsidP="00C4579E">
      <w:pPr>
        <w:spacing w:after="0" w:line="240" w:lineRule="auto"/>
        <w:ind w:firstLine="720"/>
        <w:jc w:val="both"/>
        <w:rPr>
          <w:rFonts w:ascii="Times New Roman" w:hAnsi="Times New Roman" w:cs="Times New Roman"/>
          <w:sz w:val="20"/>
          <w:szCs w:val="20"/>
        </w:rPr>
      </w:pPr>
      <w:r w:rsidRPr="00C4579E">
        <w:rPr>
          <w:rFonts w:ascii="Times New Roman" w:hAnsi="Times New Roman" w:cs="Times New Roman"/>
          <w:sz w:val="20"/>
          <w:szCs w:val="20"/>
        </w:rPr>
        <w:t>The Patriot Act itself was enacted 45 days after the attacks on the World Trade Center in New York on September 11, 2001, as a means of combating terrorism in the United States and abroad. The Patriot Act broadly grants extensive powers to law enforcement in the United States, including access to all forms of data, information, and records, including medical, financial, business, and other data. The la</w:t>
      </w:r>
      <w:bookmarkStart w:id="1" w:name="_GoBack"/>
      <w:bookmarkEnd w:id="1"/>
      <w:r w:rsidRPr="00C4579E">
        <w:rPr>
          <w:rFonts w:ascii="Times New Roman" w:hAnsi="Times New Roman" w:cs="Times New Roman"/>
          <w:sz w:val="20"/>
          <w:szCs w:val="20"/>
        </w:rPr>
        <w:t>w also expands the Secretary of the Treasury's authority to regulate financial transactions, particularly those involving foreign individuals or entities. In addition, the Patriot Act also regulates provisions regarding the enforcement of pre-forfeiture restraining orders issued by foreign courts while a lawsuit in a foreign court is still pending. Meanwhile, the Civil Asset Forfeiture Reform Act (CAFRA) of 2000, at 28 USC § 2467, regulates procedures that allow the Attorney General to file foreign court judgments, both criminal and civil, in federal court and enforce those judgments.</w:t>
      </w:r>
      <w:r w:rsidRPr="00C4579E">
        <w:rPr>
          <w:rStyle w:val="FootnoteReference"/>
          <w:rFonts w:ascii="Times New Roman" w:hAnsi="Times New Roman" w:cs="Times New Roman"/>
          <w:sz w:val="20"/>
          <w:szCs w:val="20"/>
        </w:rPr>
        <w:footnoteReference w:id="17"/>
      </w:r>
    </w:p>
    <w:p w14:paraId="16DC6C2D" w14:textId="77777777" w:rsidR="004138BC" w:rsidRPr="00C4579E" w:rsidRDefault="004138BC" w:rsidP="00C4579E">
      <w:pPr>
        <w:spacing w:after="0" w:line="240" w:lineRule="auto"/>
        <w:ind w:firstLine="720"/>
        <w:jc w:val="both"/>
        <w:rPr>
          <w:rFonts w:ascii="Times New Roman" w:eastAsia="Book Antiqua" w:hAnsi="Times New Roman" w:cs="Times New Roman"/>
          <w:sz w:val="20"/>
          <w:szCs w:val="20"/>
        </w:rPr>
      </w:pPr>
      <w:r w:rsidRPr="00C4579E">
        <w:rPr>
          <w:rFonts w:ascii="Times New Roman" w:hAnsi="Times New Roman" w:cs="Times New Roman"/>
          <w:sz w:val="20"/>
          <w:szCs w:val="20"/>
        </w:rPr>
        <w:t>In cases of foreign-based asset seizures and the defendant is not a fugitive, the USA PATRIOT Act provides that the court may order the defendant to repatriate the assets from abroad and hand them over to the state. However, if the assets are abroad and the defendant has fled.</w:t>
      </w:r>
      <w:r w:rsidRPr="00C4579E">
        <w:rPr>
          <w:rStyle w:val="FootnoteReference"/>
          <w:rFonts w:ascii="Times New Roman" w:hAnsi="Times New Roman" w:cs="Times New Roman"/>
          <w:sz w:val="20"/>
          <w:szCs w:val="20"/>
        </w:rPr>
        <w:footnoteReference w:id="18"/>
      </w:r>
      <w:r w:rsidRPr="00C4579E">
        <w:rPr>
          <w:rFonts w:ascii="Times New Roman" w:hAnsi="Times New Roman" w:cs="Times New Roman"/>
          <w:sz w:val="20"/>
          <w:szCs w:val="20"/>
        </w:rPr>
        <w:t xml:space="preserve"> </w:t>
      </w:r>
      <w:r w:rsidRPr="00C4579E">
        <w:rPr>
          <w:rFonts w:ascii="Times New Roman" w:hAnsi="Times New Roman" w:cs="Times New Roman"/>
          <w:i/>
          <w:iCs/>
          <w:sz w:val="20"/>
          <w:szCs w:val="20"/>
        </w:rPr>
        <w:br/>
        <w:t>28 U.S.C. § 1355(b)(2)</w:t>
      </w:r>
      <w:r w:rsidRPr="00C4579E">
        <w:rPr>
          <w:rFonts w:ascii="Times New Roman" w:hAnsi="Times New Roman" w:cs="Times New Roman"/>
          <w:sz w:val="20"/>
          <w:szCs w:val="20"/>
        </w:rPr>
        <w:t xml:space="preserve"> in the USA PATRIOT Act provides the legal basis for federal courts in the United States jurisdiction to file a non-conviction-based (NCB) forfeiture lawsuit. In addition, federal courts in the United States are also given the authority to issue forfeiture orders against assets located outside the national jurisdiction, </w:t>
      </w:r>
      <w:r w:rsidRPr="00C4579E">
        <w:rPr>
          <w:rFonts w:ascii="Times New Roman" w:hAnsi="Times New Roman" w:cs="Times New Roman"/>
          <w:sz w:val="20"/>
          <w:szCs w:val="20"/>
        </w:rPr>
        <w:lastRenderedPageBreak/>
        <w:t>including freezing foreign bank accounts if the assets in question were obtained from crimes committed within the United States. Although conceptually the provisions stipulated in federal law have been comprehensively designed to protect the legal interests of the United States, in practice, a number of obstacles remain in their implementation. One of the main problems is the suboptimal international cooperation, particularly the limited existence of mutual legal assistance treaties (MLATs) between the United States and other countries that explicitly include the implementation of non-conviction-based asset forfeiture (NCB) mechanisms. In response to these obstacles, the United States government then established the provisions of 18 U.S.C. § 981(k) as part of the USA PATRIOT Act.</w:t>
      </w:r>
      <w:r w:rsidRPr="00C4579E">
        <w:rPr>
          <w:rStyle w:val="FootnoteReference"/>
          <w:rFonts w:ascii="Times New Roman" w:hAnsi="Times New Roman" w:cs="Times New Roman"/>
          <w:sz w:val="20"/>
          <w:szCs w:val="20"/>
        </w:rPr>
        <w:footnoteReference w:id="19"/>
      </w:r>
      <w:r w:rsidRPr="00C4579E">
        <w:rPr>
          <w:rFonts w:ascii="Times New Roman" w:hAnsi="Times New Roman" w:cs="Times New Roman"/>
          <w:sz w:val="20"/>
          <w:szCs w:val="20"/>
        </w:rPr>
        <w:t xml:space="preserve"> As a country that adheres to Common Law, the United States implemented NCB starting from the concept of attainder and deodand. The principle of deodan became the foundation for the formation of the NCB regime in the United States and the survival of the concept of the legal fiction of guilty object. In England in the 19th century, the deodand itself was abolished because it could not be considered a punitive measure. After all, no one was found guilty.</w:t>
      </w:r>
      <w:r w:rsidRPr="00C4579E">
        <w:rPr>
          <w:rStyle w:val="FootnoteReference"/>
          <w:rFonts w:ascii="Times New Roman" w:hAnsi="Times New Roman" w:cs="Times New Roman"/>
          <w:i/>
          <w:iCs/>
          <w:sz w:val="20"/>
          <w:szCs w:val="20"/>
        </w:rPr>
        <w:footnoteReference w:id="20"/>
      </w:r>
    </w:p>
    <w:p w14:paraId="212EBCF6" w14:textId="77777777" w:rsidR="004138BC" w:rsidRPr="00C4579E" w:rsidRDefault="004138BC" w:rsidP="00C4579E">
      <w:pPr>
        <w:spacing w:after="0" w:line="240" w:lineRule="auto"/>
        <w:ind w:firstLine="720"/>
        <w:jc w:val="both"/>
        <w:rPr>
          <w:rFonts w:ascii="Times New Roman" w:hAnsi="Times New Roman" w:cs="Times New Roman"/>
          <w:sz w:val="20"/>
          <w:szCs w:val="20"/>
        </w:rPr>
      </w:pPr>
      <w:r w:rsidRPr="00C4579E">
        <w:rPr>
          <w:rFonts w:ascii="Times New Roman" w:hAnsi="Times New Roman" w:cs="Times New Roman"/>
          <w:sz w:val="20"/>
          <w:szCs w:val="20"/>
          <w:lang w:val="en"/>
        </w:rPr>
        <w:t>The concept of deodand subsequently developed in admiralty law and shaped the development of seizure law in the United States. Under the prevailing shipping law at the time, colonial maritime courts preferred to file in rem lawsuits against ships rather than in personam lawsuits against shipowners. An innocent ship could be detained and seized in the name of the government, and the law treated the ship as if it were the guilty party. And in cases where the owner of the ship was unknown or unavailable, or outside the court's jurisdiction, the court could directly file a Non-Customs Order (NCB) against the ship itself. Furthermore, the reverse burden of proof applied to shipowners who wished to retain their ships, and furthermore, ships could be seized due to illegal acts of the crew, even without the owner's knowledge</w:t>
      </w:r>
      <w:r w:rsidRPr="00C4579E">
        <w:rPr>
          <w:rFonts w:ascii="Times New Roman" w:hAnsi="Times New Roman" w:cs="Times New Roman"/>
          <w:sz w:val="20"/>
          <w:szCs w:val="20"/>
        </w:rPr>
        <w:t>.</w:t>
      </w:r>
      <w:r w:rsidRPr="00C4579E">
        <w:rPr>
          <w:rStyle w:val="FootnoteReference"/>
          <w:rFonts w:ascii="Times New Roman" w:hAnsi="Times New Roman" w:cs="Times New Roman"/>
          <w:sz w:val="20"/>
          <w:szCs w:val="20"/>
        </w:rPr>
        <w:footnoteReference w:id="21"/>
      </w:r>
    </w:p>
    <w:p w14:paraId="1913EF34" w14:textId="77777777" w:rsidR="004138BC" w:rsidRPr="0015007B" w:rsidRDefault="004138BC" w:rsidP="0015007B">
      <w:pPr>
        <w:spacing w:after="0" w:line="240" w:lineRule="auto"/>
        <w:ind w:firstLine="720"/>
        <w:jc w:val="both"/>
        <w:rPr>
          <w:rFonts w:ascii="Times New Roman" w:hAnsi="Times New Roman" w:cs="Times New Roman"/>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10"/>
        <w:gridCol w:w="2462"/>
        <w:gridCol w:w="960"/>
        <w:gridCol w:w="2123"/>
        <w:gridCol w:w="2772"/>
      </w:tblGrid>
      <w:tr w:rsidR="004138BC" w:rsidRPr="00C4579E" w14:paraId="156AB2E5" w14:textId="77777777" w:rsidTr="00C4579E">
        <w:trPr>
          <w:tblHeader/>
          <w:tblCellSpacing w:w="15" w:type="dxa"/>
        </w:trPr>
        <w:tc>
          <w:tcPr>
            <w:tcW w:w="544" w:type="dxa"/>
            <w:tcBorders>
              <w:top w:val="single" w:sz="4" w:space="0" w:color="auto"/>
              <w:bottom w:val="single" w:sz="4" w:space="0" w:color="auto"/>
            </w:tcBorders>
            <w:vAlign w:val="center"/>
            <w:hideMark/>
          </w:tcPr>
          <w:p w14:paraId="6946FF2E"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Number.</w:t>
            </w:r>
          </w:p>
        </w:tc>
        <w:tc>
          <w:tcPr>
            <w:tcW w:w="2432" w:type="dxa"/>
            <w:tcBorders>
              <w:top w:val="single" w:sz="4" w:space="0" w:color="auto"/>
              <w:bottom w:val="single" w:sz="4" w:space="0" w:color="auto"/>
            </w:tcBorders>
            <w:vAlign w:val="center"/>
            <w:hideMark/>
          </w:tcPr>
          <w:p w14:paraId="63B87148"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Institution Name</w:t>
            </w:r>
          </w:p>
          <w:p w14:paraId="35DED4BD"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p>
        </w:tc>
        <w:tc>
          <w:tcPr>
            <w:tcW w:w="0" w:type="auto"/>
            <w:tcBorders>
              <w:top w:val="single" w:sz="4" w:space="0" w:color="auto"/>
              <w:bottom w:val="single" w:sz="4" w:space="0" w:color="auto"/>
            </w:tcBorders>
            <w:vAlign w:val="center"/>
            <w:hideMark/>
          </w:tcPr>
          <w:p w14:paraId="40941A9F"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abbreviation</w:t>
            </w:r>
          </w:p>
        </w:tc>
        <w:tc>
          <w:tcPr>
            <w:tcW w:w="0" w:type="auto"/>
            <w:tcBorders>
              <w:top w:val="single" w:sz="4" w:space="0" w:color="auto"/>
              <w:bottom w:val="single" w:sz="4" w:space="0" w:color="auto"/>
            </w:tcBorders>
            <w:vAlign w:val="center"/>
            <w:hideMark/>
          </w:tcPr>
          <w:p w14:paraId="0CCE15F0"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Ministries/Instantion</w:t>
            </w:r>
          </w:p>
        </w:tc>
        <w:tc>
          <w:tcPr>
            <w:tcW w:w="0" w:type="auto"/>
            <w:tcBorders>
              <w:top w:val="single" w:sz="4" w:space="0" w:color="auto"/>
              <w:bottom w:val="single" w:sz="4" w:space="0" w:color="auto"/>
            </w:tcBorders>
            <w:vAlign w:val="center"/>
            <w:hideMark/>
          </w:tcPr>
          <w:p w14:paraId="592C594D"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Role in Asset Forfeiture</w:t>
            </w:r>
          </w:p>
        </w:tc>
      </w:tr>
      <w:tr w:rsidR="004138BC" w:rsidRPr="00C4579E" w14:paraId="4210C85C" w14:textId="77777777" w:rsidTr="00C4579E">
        <w:trPr>
          <w:tblCellSpacing w:w="15" w:type="dxa"/>
        </w:trPr>
        <w:tc>
          <w:tcPr>
            <w:tcW w:w="544" w:type="dxa"/>
            <w:vAlign w:val="center"/>
            <w:hideMark/>
          </w:tcPr>
          <w:p w14:paraId="395DBF74"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1</w:t>
            </w:r>
          </w:p>
        </w:tc>
        <w:tc>
          <w:tcPr>
            <w:tcW w:w="2432" w:type="dxa"/>
            <w:vAlign w:val="center"/>
            <w:hideMark/>
          </w:tcPr>
          <w:p w14:paraId="5C868AD3"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Justice Management Division – Asset Forfeiture Management Staff</w:t>
            </w:r>
          </w:p>
        </w:tc>
        <w:tc>
          <w:tcPr>
            <w:tcW w:w="0" w:type="auto"/>
            <w:vAlign w:val="center"/>
            <w:hideMark/>
          </w:tcPr>
          <w:p w14:paraId="308897A5"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AFMS</w:t>
            </w:r>
          </w:p>
        </w:tc>
        <w:tc>
          <w:tcPr>
            <w:tcW w:w="0" w:type="auto"/>
            <w:vAlign w:val="center"/>
            <w:hideMark/>
          </w:tcPr>
          <w:p w14:paraId="032E6A5D"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i/>
                <w:iCs/>
                <w:sz w:val="18"/>
                <w:szCs w:val="18"/>
              </w:rPr>
              <w:t>Department of Justice</w:t>
            </w:r>
            <w:r w:rsidRPr="00C4579E">
              <w:rPr>
                <w:rFonts w:ascii="Times New Roman" w:eastAsia="Times New Roman" w:hAnsi="Times New Roman" w:cs="Times New Roman"/>
                <w:sz w:val="18"/>
                <w:szCs w:val="18"/>
              </w:rPr>
              <w:t xml:space="preserve"> (DOJ)</w:t>
            </w:r>
          </w:p>
        </w:tc>
        <w:tc>
          <w:tcPr>
            <w:tcW w:w="0" w:type="auto"/>
            <w:vAlign w:val="center"/>
            <w:hideMark/>
          </w:tcPr>
          <w:p w14:paraId="26B327F6"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Managing funds, reporting, and asset seizure information systems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22"/>
            </w:r>
          </w:p>
        </w:tc>
      </w:tr>
      <w:tr w:rsidR="004138BC" w:rsidRPr="00C4579E" w14:paraId="0C78766A" w14:textId="77777777" w:rsidTr="00C4579E">
        <w:trPr>
          <w:tblCellSpacing w:w="15" w:type="dxa"/>
        </w:trPr>
        <w:tc>
          <w:tcPr>
            <w:tcW w:w="544" w:type="dxa"/>
            <w:vAlign w:val="center"/>
            <w:hideMark/>
          </w:tcPr>
          <w:p w14:paraId="18E3408D"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2</w:t>
            </w:r>
          </w:p>
        </w:tc>
        <w:tc>
          <w:tcPr>
            <w:tcW w:w="2432" w:type="dxa"/>
            <w:vAlign w:val="center"/>
            <w:hideMark/>
          </w:tcPr>
          <w:p w14:paraId="61300D81"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Bureau of Alcohol, Tobacco, Firearms, and Explosives</w:t>
            </w:r>
          </w:p>
        </w:tc>
        <w:tc>
          <w:tcPr>
            <w:tcW w:w="0" w:type="auto"/>
            <w:vAlign w:val="center"/>
            <w:hideMark/>
          </w:tcPr>
          <w:p w14:paraId="0B82F51E"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ATF</w:t>
            </w:r>
          </w:p>
        </w:tc>
        <w:tc>
          <w:tcPr>
            <w:tcW w:w="0" w:type="auto"/>
            <w:vAlign w:val="center"/>
            <w:hideMark/>
          </w:tcPr>
          <w:p w14:paraId="3A023EEA"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033467A2"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Conducting confiscation of assets related to firearms, explosives, and smuggling</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23"/>
            </w:r>
          </w:p>
        </w:tc>
      </w:tr>
      <w:tr w:rsidR="004138BC" w:rsidRPr="00C4579E" w14:paraId="08DF4944" w14:textId="77777777" w:rsidTr="00C4579E">
        <w:trPr>
          <w:tblCellSpacing w:w="15" w:type="dxa"/>
        </w:trPr>
        <w:tc>
          <w:tcPr>
            <w:tcW w:w="544" w:type="dxa"/>
            <w:vAlign w:val="center"/>
            <w:hideMark/>
          </w:tcPr>
          <w:p w14:paraId="04637BB5"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3</w:t>
            </w:r>
          </w:p>
        </w:tc>
        <w:tc>
          <w:tcPr>
            <w:tcW w:w="2432" w:type="dxa"/>
            <w:vAlign w:val="center"/>
            <w:hideMark/>
          </w:tcPr>
          <w:p w14:paraId="778D85E4"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Drug Enforcement Administration</w:t>
            </w:r>
          </w:p>
        </w:tc>
        <w:tc>
          <w:tcPr>
            <w:tcW w:w="0" w:type="auto"/>
            <w:vAlign w:val="center"/>
            <w:hideMark/>
          </w:tcPr>
          <w:p w14:paraId="0B5660CA"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DEA</w:t>
            </w:r>
          </w:p>
        </w:tc>
        <w:tc>
          <w:tcPr>
            <w:tcW w:w="0" w:type="auto"/>
            <w:vAlign w:val="center"/>
            <w:hideMark/>
          </w:tcPr>
          <w:p w14:paraId="0BCBD39E"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25820AA6"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Seizing assets from domestic and international narcotics networks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24"/>
            </w:r>
          </w:p>
        </w:tc>
      </w:tr>
      <w:tr w:rsidR="004138BC" w:rsidRPr="00C4579E" w14:paraId="3A994124" w14:textId="77777777" w:rsidTr="00C4579E">
        <w:trPr>
          <w:tblCellSpacing w:w="15" w:type="dxa"/>
        </w:trPr>
        <w:tc>
          <w:tcPr>
            <w:tcW w:w="544" w:type="dxa"/>
            <w:vAlign w:val="center"/>
            <w:hideMark/>
          </w:tcPr>
          <w:p w14:paraId="790A69B3"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4</w:t>
            </w:r>
          </w:p>
        </w:tc>
        <w:tc>
          <w:tcPr>
            <w:tcW w:w="2432" w:type="dxa"/>
            <w:vAlign w:val="center"/>
            <w:hideMark/>
          </w:tcPr>
          <w:p w14:paraId="1F85FA7B"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Federal Bureau of Investigation</w:t>
            </w:r>
          </w:p>
        </w:tc>
        <w:tc>
          <w:tcPr>
            <w:tcW w:w="0" w:type="auto"/>
            <w:vAlign w:val="center"/>
            <w:hideMark/>
          </w:tcPr>
          <w:p w14:paraId="71E6FD4C"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FBI</w:t>
            </w:r>
          </w:p>
        </w:tc>
        <w:tc>
          <w:tcPr>
            <w:tcW w:w="0" w:type="auto"/>
            <w:vAlign w:val="center"/>
            <w:hideMark/>
          </w:tcPr>
          <w:p w14:paraId="45904ACA"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4B91FCBA"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Conducting investigations and seizures of organized crime, fraud, and corruption</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25"/>
            </w:r>
          </w:p>
        </w:tc>
      </w:tr>
      <w:tr w:rsidR="004138BC" w:rsidRPr="00C4579E" w14:paraId="411E56B2" w14:textId="77777777" w:rsidTr="00C4579E">
        <w:trPr>
          <w:tblCellSpacing w:w="15" w:type="dxa"/>
        </w:trPr>
        <w:tc>
          <w:tcPr>
            <w:tcW w:w="544" w:type="dxa"/>
            <w:vAlign w:val="center"/>
            <w:hideMark/>
          </w:tcPr>
          <w:p w14:paraId="2464C631"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5</w:t>
            </w:r>
          </w:p>
        </w:tc>
        <w:tc>
          <w:tcPr>
            <w:tcW w:w="2432" w:type="dxa"/>
            <w:vAlign w:val="center"/>
            <w:hideMark/>
          </w:tcPr>
          <w:p w14:paraId="4913FD8C"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U.S. Attorneys’ Offices</w:t>
            </w:r>
          </w:p>
        </w:tc>
        <w:tc>
          <w:tcPr>
            <w:tcW w:w="0" w:type="auto"/>
            <w:vAlign w:val="center"/>
            <w:hideMark/>
          </w:tcPr>
          <w:p w14:paraId="1EF2C318"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USAO</w:t>
            </w:r>
          </w:p>
        </w:tc>
        <w:tc>
          <w:tcPr>
            <w:tcW w:w="0" w:type="auto"/>
            <w:vAlign w:val="center"/>
            <w:hideMark/>
          </w:tcPr>
          <w:p w14:paraId="62334463"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63D36D8B"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Filing a lawsuit for confiscation, either criminally or civilly (NCB)</w:t>
            </w:r>
            <w:r w:rsidRPr="00C4579E">
              <w:rPr>
                <w:rStyle w:val="FootnoteReference"/>
                <w:rFonts w:ascii="Times New Roman" w:eastAsia="Times New Roman" w:hAnsi="Times New Roman" w:cs="Times New Roman"/>
                <w:sz w:val="18"/>
                <w:szCs w:val="18"/>
              </w:rPr>
              <w:footnoteReference w:id="26"/>
            </w:r>
          </w:p>
        </w:tc>
      </w:tr>
      <w:tr w:rsidR="004138BC" w:rsidRPr="00C4579E" w14:paraId="4909BF62" w14:textId="77777777" w:rsidTr="00C4579E">
        <w:trPr>
          <w:tblCellSpacing w:w="15" w:type="dxa"/>
        </w:trPr>
        <w:tc>
          <w:tcPr>
            <w:tcW w:w="544" w:type="dxa"/>
            <w:vAlign w:val="center"/>
            <w:hideMark/>
          </w:tcPr>
          <w:p w14:paraId="43F0C567"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6</w:t>
            </w:r>
          </w:p>
        </w:tc>
        <w:tc>
          <w:tcPr>
            <w:tcW w:w="2432" w:type="dxa"/>
            <w:vAlign w:val="center"/>
            <w:hideMark/>
          </w:tcPr>
          <w:p w14:paraId="06D1D8FD"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U.S. Marshals Service</w:t>
            </w:r>
          </w:p>
        </w:tc>
        <w:tc>
          <w:tcPr>
            <w:tcW w:w="0" w:type="auto"/>
            <w:vAlign w:val="center"/>
            <w:hideMark/>
          </w:tcPr>
          <w:p w14:paraId="3B7E09D9"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USMS</w:t>
            </w:r>
          </w:p>
        </w:tc>
        <w:tc>
          <w:tcPr>
            <w:tcW w:w="0" w:type="auto"/>
            <w:vAlign w:val="center"/>
            <w:hideMark/>
          </w:tcPr>
          <w:p w14:paraId="6D4C9C8D"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2F1EBB72"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Storing, auctioning, and managing confiscated property</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27"/>
            </w:r>
          </w:p>
        </w:tc>
      </w:tr>
      <w:tr w:rsidR="004138BC" w:rsidRPr="00C4579E" w14:paraId="00BE4CF6" w14:textId="77777777" w:rsidTr="00C4579E">
        <w:trPr>
          <w:tblCellSpacing w:w="15" w:type="dxa"/>
        </w:trPr>
        <w:tc>
          <w:tcPr>
            <w:tcW w:w="544" w:type="dxa"/>
            <w:vAlign w:val="center"/>
            <w:hideMark/>
          </w:tcPr>
          <w:p w14:paraId="15FFEA92"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7</w:t>
            </w:r>
          </w:p>
        </w:tc>
        <w:tc>
          <w:tcPr>
            <w:tcW w:w="2432" w:type="dxa"/>
            <w:vAlign w:val="center"/>
            <w:hideMark/>
          </w:tcPr>
          <w:p w14:paraId="15D69FF5"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Money Laundering and Asset Recovery Section, Criminal Division</w:t>
            </w:r>
          </w:p>
        </w:tc>
        <w:tc>
          <w:tcPr>
            <w:tcW w:w="0" w:type="auto"/>
            <w:vAlign w:val="center"/>
            <w:hideMark/>
          </w:tcPr>
          <w:p w14:paraId="65C34754"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MLARS</w:t>
            </w:r>
          </w:p>
        </w:tc>
        <w:tc>
          <w:tcPr>
            <w:tcW w:w="0" w:type="auto"/>
            <w:vAlign w:val="center"/>
            <w:hideMark/>
          </w:tcPr>
          <w:p w14:paraId="0F944CBE"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4750C5BA"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Developing national policies and litigation in money laundering and confiscation cases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28"/>
            </w:r>
          </w:p>
        </w:tc>
      </w:tr>
      <w:tr w:rsidR="004138BC" w:rsidRPr="00C4579E" w14:paraId="426E38E0" w14:textId="77777777" w:rsidTr="00C4579E">
        <w:trPr>
          <w:tblCellSpacing w:w="15" w:type="dxa"/>
        </w:trPr>
        <w:tc>
          <w:tcPr>
            <w:tcW w:w="544" w:type="dxa"/>
            <w:vAlign w:val="center"/>
            <w:hideMark/>
          </w:tcPr>
          <w:p w14:paraId="1F9B2B6C"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lastRenderedPageBreak/>
              <w:t>8</w:t>
            </w:r>
          </w:p>
        </w:tc>
        <w:tc>
          <w:tcPr>
            <w:tcW w:w="2432" w:type="dxa"/>
            <w:vAlign w:val="center"/>
            <w:hideMark/>
          </w:tcPr>
          <w:p w14:paraId="1EDD8E9A"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Organized Crime Drug Enforcement Task Forces</w:t>
            </w:r>
          </w:p>
        </w:tc>
        <w:tc>
          <w:tcPr>
            <w:tcW w:w="0" w:type="auto"/>
            <w:vAlign w:val="center"/>
            <w:hideMark/>
          </w:tcPr>
          <w:p w14:paraId="34B46A0C"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OCDETF</w:t>
            </w:r>
          </w:p>
        </w:tc>
        <w:tc>
          <w:tcPr>
            <w:tcW w:w="0" w:type="auto"/>
            <w:vAlign w:val="center"/>
            <w:hideMark/>
          </w:tcPr>
          <w:p w14:paraId="0855241E"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DOJ </w:t>
            </w:r>
            <w:r w:rsidRPr="00C4579E">
              <w:rPr>
                <w:rFonts w:ascii="Times New Roman" w:eastAsia="Times New Roman" w:hAnsi="Times New Roman" w:cs="Times New Roman"/>
                <w:sz w:val="18"/>
                <w:szCs w:val="18"/>
                <w:lang w:val="en"/>
              </w:rPr>
              <w:t>(cross-institutional)</w:t>
            </w:r>
          </w:p>
        </w:tc>
        <w:tc>
          <w:tcPr>
            <w:tcW w:w="0" w:type="auto"/>
            <w:vAlign w:val="center"/>
            <w:hideMark/>
          </w:tcPr>
          <w:p w14:paraId="4557553F"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Coordinating seizures in narcotics and transnational crime cases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29"/>
            </w:r>
          </w:p>
        </w:tc>
      </w:tr>
      <w:tr w:rsidR="004138BC" w:rsidRPr="00C4579E" w14:paraId="20AB49F9" w14:textId="77777777" w:rsidTr="00C4579E">
        <w:trPr>
          <w:tblCellSpacing w:w="15" w:type="dxa"/>
        </w:trPr>
        <w:tc>
          <w:tcPr>
            <w:tcW w:w="544" w:type="dxa"/>
            <w:vAlign w:val="center"/>
            <w:hideMark/>
          </w:tcPr>
          <w:p w14:paraId="1988C996"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9</w:t>
            </w:r>
          </w:p>
        </w:tc>
        <w:tc>
          <w:tcPr>
            <w:tcW w:w="2432" w:type="dxa"/>
            <w:vAlign w:val="center"/>
            <w:hideMark/>
          </w:tcPr>
          <w:p w14:paraId="2FAA3BA9"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Office of Inspector General – Department of Agriculture</w:t>
            </w:r>
          </w:p>
        </w:tc>
        <w:tc>
          <w:tcPr>
            <w:tcW w:w="0" w:type="auto"/>
            <w:vAlign w:val="center"/>
            <w:hideMark/>
          </w:tcPr>
          <w:p w14:paraId="30BF96C4"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USDA-OIG</w:t>
            </w:r>
          </w:p>
        </w:tc>
        <w:tc>
          <w:tcPr>
            <w:tcW w:w="0" w:type="auto"/>
            <w:vAlign w:val="center"/>
            <w:hideMark/>
          </w:tcPr>
          <w:p w14:paraId="4107A4E9"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Department of Agriculture</w:t>
            </w:r>
          </w:p>
        </w:tc>
        <w:tc>
          <w:tcPr>
            <w:tcW w:w="0" w:type="auto"/>
            <w:vAlign w:val="center"/>
            <w:hideMark/>
          </w:tcPr>
          <w:p w14:paraId="5D4E51F7"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Seized assets in an agricultural program and subsidy fraud case</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30"/>
            </w:r>
          </w:p>
        </w:tc>
      </w:tr>
      <w:tr w:rsidR="004138BC" w:rsidRPr="00C4579E" w14:paraId="465ACF23" w14:textId="77777777" w:rsidTr="00C4579E">
        <w:trPr>
          <w:tblCellSpacing w:w="15" w:type="dxa"/>
        </w:trPr>
        <w:tc>
          <w:tcPr>
            <w:tcW w:w="544" w:type="dxa"/>
            <w:vAlign w:val="center"/>
            <w:hideMark/>
          </w:tcPr>
          <w:p w14:paraId="664195BE"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10</w:t>
            </w:r>
          </w:p>
        </w:tc>
        <w:tc>
          <w:tcPr>
            <w:tcW w:w="2432" w:type="dxa"/>
            <w:vAlign w:val="center"/>
            <w:hideMark/>
          </w:tcPr>
          <w:p w14:paraId="7D1A9461"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Defense Criminal Investigative Service</w:t>
            </w:r>
          </w:p>
        </w:tc>
        <w:tc>
          <w:tcPr>
            <w:tcW w:w="0" w:type="auto"/>
            <w:vAlign w:val="center"/>
            <w:hideMark/>
          </w:tcPr>
          <w:p w14:paraId="7FBB3ED3"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DCIS</w:t>
            </w:r>
          </w:p>
        </w:tc>
        <w:tc>
          <w:tcPr>
            <w:tcW w:w="0" w:type="auto"/>
            <w:vAlign w:val="center"/>
            <w:hideMark/>
          </w:tcPr>
          <w:p w14:paraId="4D6632F1"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Department of Defense</w:t>
            </w:r>
          </w:p>
        </w:tc>
        <w:tc>
          <w:tcPr>
            <w:tcW w:w="0" w:type="auto"/>
            <w:vAlign w:val="center"/>
            <w:hideMark/>
          </w:tcPr>
          <w:p w14:paraId="64BD1EFD"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Supporting asset seizures in procurement, military corruption, and defense contract cases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31"/>
            </w:r>
          </w:p>
        </w:tc>
      </w:tr>
      <w:tr w:rsidR="004138BC" w:rsidRPr="00C4579E" w14:paraId="4ECC2912" w14:textId="77777777" w:rsidTr="00C4579E">
        <w:trPr>
          <w:tblCellSpacing w:w="15" w:type="dxa"/>
        </w:trPr>
        <w:tc>
          <w:tcPr>
            <w:tcW w:w="544" w:type="dxa"/>
            <w:vAlign w:val="center"/>
            <w:hideMark/>
          </w:tcPr>
          <w:p w14:paraId="24C95BE4"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11</w:t>
            </w:r>
          </w:p>
        </w:tc>
        <w:tc>
          <w:tcPr>
            <w:tcW w:w="2432" w:type="dxa"/>
            <w:vAlign w:val="center"/>
            <w:hideMark/>
          </w:tcPr>
          <w:p w14:paraId="5BD6FC10"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Bureau of Diplomatic Security</w:t>
            </w:r>
          </w:p>
        </w:tc>
        <w:tc>
          <w:tcPr>
            <w:tcW w:w="0" w:type="auto"/>
            <w:vAlign w:val="center"/>
            <w:hideMark/>
          </w:tcPr>
          <w:p w14:paraId="6190E187"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DSS</w:t>
            </w:r>
          </w:p>
        </w:tc>
        <w:tc>
          <w:tcPr>
            <w:tcW w:w="0" w:type="auto"/>
            <w:vAlign w:val="center"/>
            <w:hideMark/>
          </w:tcPr>
          <w:p w14:paraId="0E28F194"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Department of State</w:t>
            </w:r>
          </w:p>
        </w:tc>
        <w:tc>
          <w:tcPr>
            <w:tcW w:w="0" w:type="auto"/>
            <w:vAlign w:val="center"/>
            <w:hideMark/>
          </w:tcPr>
          <w:p w14:paraId="53C88611"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Carrying out asset seizures in cases of violations of foreign and diplomatic laws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32"/>
            </w:r>
          </w:p>
        </w:tc>
      </w:tr>
      <w:tr w:rsidR="004138BC" w:rsidRPr="00C4579E" w14:paraId="4C2591EE" w14:textId="77777777" w:rsidTr="00C4579E">
        <w:trPr>
          <w:tblCellSpacing w:w="15" w:type="dxa"/>
        </w:trPr>
        <w:tc>
          <w:tcPr>
            <w:tcW w:w="544" w:type="dxa"/>
            <w:vAlign w:val="center"/>
            <w:hideMark/>
          </w:tcPr>
          <w:p w14:paraId="09506ACA"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12</w:t>
            </w:r>
          </w:p>
        </w:tc>
        <w:tc>
          <w:tcPr>
            <w:tcW w:w="2432" w:type="dxa"/>
            <w:vAlign w:val="center"/>
            <w:hideMark/>
          </w:tcPr>
          <w:p w14:paraId="6D1D734A" w14:textId="77777777" w:rsidR="004138BC" w:rsidRPr="00C4579E" w:rsidRDefault="004138BC" w:rsidP="0015007B">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Office of Criminal Investigations – Food and Drug Administration</w:t>
            </w:r>
          </w:p>
        </w:tc>
        <w:tc>
          <w:tcPr>
            <w:tcW w:w="0" w:type="auto"/>
            <w:vAlign w:val="center"/>
            <w:hideMark/>
          </w:tcPr>
          <w:p w14:paraId="1DDCC8A8"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FDA-OCI</w:t>
            </w:r>
          </w:p>
        </w:tc>
        <w:tc>
          <w:tcPr>
            <w:tcW w:w="0" w:type="auto"/>
            <w:vAlign w:val="center"/>
            <w:hideMark/>
          </w:tcPr>
          <w:p w14:paraId="3A0AA8BA"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Department of Health &amp; Human Services</w:t>
            </w:r>
          </w:p>
        </w:tc>
        <w:tc>
          <w:tcPr>
            <w:tcW w:w="0" w:type="auto"/>
            <w:vAlign w:val="center"/>
            <w:hideMark/>
          </w:tcPr>
          <w:p w14:paraId="45F7BD4A"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Menyita aset dalam kasus obat palsu, pangan ilegal, dan pelanggaran FDA.</w:t>
            </w:r>
            <w:r w:rsidRPr="00C4579E">
              <w:rPr>
                <w:rStyle w:val="FootnoteReference"/>
                <w:rFonts w:ascii="Times New Roman" w:eastAsia="Times New Roman" w:hAnsi="Times New Roman" w:cs="Times New Roman"/>
                <w:sz w:val="18"/>
                <w:szCs w:val="18"/>
              </w:rPr>
              <w:footnoteReference w:id="33"/>
            </w:r>
          </w:p>
        </w:tc>
      </w:tr>
      <w:tr w:rsidR="004138BC" w:rsidRPr="00C4579E" w14:paraId="71144B3F" w14:textId="77777777" w:rsidTr="00C4579E">
        <w:trPr>
          <w:tblCellSpacing w:w="15" w:type="dxa"/>
        </w:trPr>
        <w:tc>
          <w:tcPr>
            <w:tcW w:w="544" w:type="dxa"/>
            <w:vAlign w:val="center"/>
            <w:hideMark/>
          </w:tcPr>
          <w:p w14:paraId="585C2D54"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13</w:t>
            </w:r>
          </w:p>
        </w:tc>
        <w:tc>
          <w:tcPr>
            <w:tcW w:w="2432" w:type="dxa"/>
            <w:vAlign w:val="center"/>
            <w:hideMark/>
          </w:tcPr>
          <w:p w14:paraId="6343CF7F"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Postal Inspection Service</w:t>
            </w:r>
          </w:p>
        </w:tc>
        <w:tc>
          <w:tcPr>
            <w:tcW w:w="0" w:type="auto"/>
            <w:vAlign w:val="center"/>
            <w:hideMark/>
          </w:tcPr>
          <w:p w14:paraId="3B7C2F20"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USPIS</w:t>
            </w:r>
          </w:p>
        </w:tc>
        <w:tc>
          <w:tcPr>
            <w:tcW w:w="0" w:type="auto"/>
            <w:vAlign w:val="center"/>
            <w:hideMark/>
          </w:tcPr>
          <w:p w14:paraId="2628BF5C"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Postal Service</w:t>
            </w:r>
          </w:p>
        </w:tc>
        <w:tc>
          <w:tcPr>
            <w:tcW w:w="0" w:type="auto"/>
            <w:vAlign w:val="center"/>
            <w:hideMark/>
          </w:tcPr>
          <w:p w14:paraId="0441F302" w14:textId="77777777" w:rsidR="004138BC" w:rsidRPr="00C4579E" w:rsidRDefault="004138BC" w:rsidP="0015007B">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Conducting seizures for violations of the law using postal or delivery services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34"/>
            </w:r>
          </w:p>
        </w:tc>
      </w:tr>
    </w:tbl>
    <w:p w14:paraId="3297A094" w14:textId="77777777" w:rsidR="004138BC" w:rsidRPr="0015007B" w:rsidRDefault="004138BC" w:rsidP="0015007B">
      <w:pPr>
        <w:spacing w:after="0" w:line="240" w:lineRule="auto"/>
        <w:ind w:firstLine="720"/>
        <w:jc w:val="both"/>
        <w:rPr>
          <w:rFonts w:ascii="Times New Roman" w:hAnsi="Times New Roman" w:cs="Times New Roman"/>
        </w:rPr>
      </w:pPr>
    </w:p>
    <w:p w14:paraId="71999871" w14:textId="77777777" w:rsidR="004138BC" w:rsidRPr="00C4579E" w:rsidRDefault="004138BC" w:rsidP="00C4579E">
      <w:pPr>
        <w:spacing w:after="0" w:line="240" w:lineRule="auto"/>
        <w:jc w:val="both"/>
        <w:rPr>
          <w:rFonts w:ascii="Times New Roman" w:hAnsi="Times New Roman" w:cs="Times New Roman"/>
          <w:b/>
          <w:bCs/>
          <w:sz w:val="20"/>
        </w:rPr>
      </w:pPr>
      <w:r w:rsidRPr="00C4579E">
        <w:rPr>
          <w:rFonts w:ascii="Times New Roman" w:hAnsi="Times New Roman" w:cs="Times New Roman"/>
          <w:b/>
          <w:bCs/>
          <w:sz w:val="20"/>
        </w:rPr>
        <w:t xml:space="preserve">Legal Frameworks of Non-Conviction-Based Asset Forfeiture and Practices in the United Kingdom </w:t>
      </w:r>
    </w:p>
    <w:p w14:paraId="2C7A2AED" w14:textId="77777777" w:rsidR="004138BC" w:rsidRPr="00C4579E" w:rsidRDefault="004138BC" w:rsidP="00C4579E">
      <w:pPr>
        <w:spacing w:after="0" w:line="240" w:lineRule="auto"/>
        <w:ind w:firstLine="709"/>
        <w:jc w:val="both"/>
        <w:rPr>
          <w:rFonts w:ascii="Times New Roman" w:eastAsia="Times New Roman" w:hAnsi="Times New Roman" w:cs="Times New Roman"/>
          <w:sz w:val="20"/>
          <w:lang w:val="id"/>
        </w:rPr>
      </w:pPr>
      <w:r w:rsidRPr="00C4579E">
        <w:rPr>
          <w:rFonts w:ascii="Times New Roman" w:eastAsia="Times New Roman" w:hAnsi="Times New Roman" w:cs="Times New Roman"/>
          <w:sz w:val="20"/>
          <w:lang w:val="id"/>
        </w:rPr>
        <w:t>The United Kingdom was the first country in the world to implement a Non-Conviction Based Asset Forfeiture (NCB) to seize and recover assets originating from, related to, or resulting from a crime. The roots of the NCB Asset Forfeiture principle were first discovered in medieval England, when the monarchy confiscated items deemed instruments of death, often referred to as Deodand. The advent of industrialization in England then forced Parliament to abolish the Deodand after an increase in accidents led to the seizure of many assets.</w:t>
      </w:r>
      <w:r w:rsidRPr="00C4579E">
        <w:rPr>
          <w:rStyle w:val="FootnoteReference"/>
          <w:rFonts w:ascii="Times New Roman" w:eastAsia="Times New Roman" w:hAnsi="Times New Roman" w:cs="Times New Roman"/>
          <w:sz w:val="20"/>
          <w:lang w:val="id"/>
        </w:rPr>
        <w:footnoteReference w:id="35"/>
      </w:r>
    </w:p>
    <w:p w14:paraId="65CD93F2" w14:textId="77777777" w:rsidR="004138BC" w:rsidRPr="00C4579E" w:rsidRDefault="004138BC" w:rsidP="00C4579E">
      <w:pPr>
        <w:spacing w:after="0" w:line="240" w:lineRule="auto"/>
        <w:ind w:firstLine="709"/>
        <w:jc w:val="both"/>
        <w:rPr>
          <w:rFonts w:ascii="Times New Roman" w:eastAsia="Times New Roman" w:hAnsi="Times New Roman" w:cs="Times New Roman"/>
          <w:sz w:val="20"/>
          <w:lang w:val="en"/>
        </w:rPr>
      </w:pPr>
      <w:r w:rsidRPr="00C4579E">
        <w:rPr>
          <w:rFonts w:ascii="Times New Roman" w:eastAsia="Times New Roman" w:hAnsi="Times New Roman" w:cs="Times New Roman"/>
          <w:sz w:val="20"/>
          <w:lang w:val="en"/>
        </w:rPr>
        <w:t xml:space="preserve">In the development of the NCB asset confiscation arrangements in the UK, confiscation is carried out under the Criminal Justice Act (CJA) 1988 as amended by the Proceeds of Crime Act (POCA) 1995, which provides the basis for the authority of the Crown Court and trial judges to make confiscation orders. In October 1998, the Prime Minister, through the Performance &amp; Innovation Unit (PIU), reviewed the asset recovery arrangements to improve the efficiency of the recovery process and increase the number of recoveries of illegally acquired assets. </w:t>
      </w:r>
    </w:p>
    <w:p w14:paraId="1AB1A08E" w14:textId="77777777" w:rsidR="004138BC" w:rsidRPr="00C4579E" w:rsidRDefault="004138BC" w:rsidP="00C4579E">
      <w:pPr>
        <w:spacing w:after="0" w:line="240" w:lineRule="auto"/>
        <w:ind w:firstLine="709"/>
        <w:jc w:val="both"/>
        <w:rPr>
          <w:rFonts w:ascii="Times New Roman" w:eastAsia="Times New Roman" w:hAnsi="Times New Roman" w:cs="Times New Roman"/>
          <w:sz w:val="20"/>
          <w:lang w:val="en"/>
        </w:rPr>
      </w:pPr>
      <w:r w:rsidRPr="00C4579E">
        <w:rPr>
          <w:rFonts w:ascii="Times New Roman" w:eastAsia="Times New Roman" w:hAnsi="Times New Roman" w:cs="Times New Roman"/>
          <w:sz w:val="20"/>
          <w:lang w:val="en"/>
        </w:rPr>
        <w:t>The PIU report was published by the government in June 2000 with several legislative proposals, including the consolidation of laws relating to confiscation and money laundering into a single statute, the Proceeds of Crime Act (POCA). On 31 July 2002, POCA received royal assent and was implemented.</w:t>
      </w:r>
      <w:r w:rsidRPr="00C4579E">
        <w:rPr>
          <w:rStyle w:val="FootnoteReference"/>
          <w:rFonts w:ascii="Times New Roman" w:eastAsia="Times New Roman" w:hAnsi="Times New Roman" w:cs="Times New Roman"/>
          <w:sz w:val="20"/>
          <w:lang w:val="en"/>
        </w:rPr>
        <w:footnoteReference w:id="36"/>
      </w:r>
      <w:r w:rsidRPr="00C4579E">
        <w:rPr>
          <w:rFonts w:ascii="Times New Roman" w:eastAsia="Times New Roman" w:hAnsi="Times New Roman" w:cs="Times New Roman"/>
          <w:sz w:val="20"/>
          <w:lang w:val="en"/>
        </w:rPr>
        <w:t xml:space="preserve"> Criminal forfeiture is the primary method for recovering the proceeds of crime if the initial investigation determines that a case will proceed. The forfeiture investigation will run parallel to the criminal investigation. Under POCA 2002, certain criminal acts can be used as an indication of a criminal lifestyle. These include drug use, forgery, sexual assault, and extortion. If an individual is deemed to have a criminal lifestyle, all property transfers within the past six years, or those held at the time of the indictment, and all expenditure incurred are attributable to the crime unless proven otherwise. If the investigation corroborates the allegation, the court will issue a forfeiture order, followed by an order to pay within a specified timeframe and amount. The forfeiture order will also be followed by the imposition of a criminal penalty if the payment order is not complied with. If criminal forfeiture is not feasible, civil recovery can be pursued. Civil recovery focuses on assets derived from the proceeds of crime, rather </w:t>
      </w:r>
      <w:r w:rsidRPr="00C4579E">
        <w:rPr>
          <w:rFonts w:ascii="Times New Roman" w:eastAsia="Times New Roman" w:hAnsi="Times New Roman" w:cs="Times New Roman"/>
          <w:sz w:val="20"/>
          <w:lang w:val="en"/>
        </w:rPr>
        <w:lastRenderedPageBreak/>
        <w:t>than the individual. Therefore, it is possible to recover assets from an individual without their involvement in the crime if the assets were obtained from the proceeds of crime.</w:t>
      </w:r>
      <w:r w:rsidRPr="00C4579E">
        <w:rPr>
          <w:rStyle w:val="FootnoteReference"/>
          <w:rFonts w:ascii="Times New Roman" w:eastAsia="Times New Roman" w:hAnsi="Times New Roman" w:cs="Times New Roman"/>
          <w:sz w:val="20"/>
          <w:lang w:val="en"/>
        </w:rPr>
        <w:footnoteReference w:id="37"/>
      </w:r>
    </w:p>
    <w:p w14:paraId="2B6921CF" w14:textId="77777777" w:rsidR="004138BC" w:rsidRPr="00C4579E" w:rsidRDefault="004138BC" w:rsidP="00C4579E">
      <w:pPr>
        <w:spacing w:after="0" w:line="240" w:lineRule="auto"/>
        <w:ind w:firstLine="709"/>
        <w:jc w:val="both"/>
        <w:rPr>
          <w:rFonts w:ascii="Times New Roman" w:eastAsia="Times New Roman" w:hAnsi="Times New Roman" w:cs="Times New Roman"/>
          <w:sz w:val="20"/>
          <w:lang w:val="en"/>
        </w:rPr>
      </w:pPr>
      <w:r w:rsidRPr="00C4579E">
        <w:rPr>
          <w:rFonts w:ascii="Times New Roman" w:eastAsia="Times New Roman" w:hAnsi="Times New Roman" w:cs="Times New Roman"/>
          <w:sz w:val="20"/>
          <w:lang w:val="en"/>
        </w:rPr>
        <w:t xml:space="preserve"> Management receivership includes selling the property or any part thereof or interest in it, bringing or arranging for another party to bring the asset into a trade or business, and incurring capital expenditure on the property. The use of a management receiver is primarily for assets that require active management. Where the defendant is in custody and is unable to manage the asset himself. A management receiver is a person appointed by the court in the prosecution file.</w:t>
      </w:r>
      <w:r w:rsidRPr="00C4579E">
        <w:rPr>
          <w:rStyle w:val="FootnoteReference"/>
          <w:rFonts w:ascii="Times New Roman" w:eastAsia="Times New Roman" w:hAnsi="Times New Roman" w:cs="Times New Roman"/>
          <w:sz w:val="20"/>
          <w:lang w:val="en"/>
        </w:rPr>
        <w:footnoteReference w:id="38"/>
      </w:r>
      <w:r w:rsidRPr="00C4579E">
        <w:rPr>
          <w:rFonts w:ascii="Times New Roman" w:eastAsia="Times New Roman" w:hAnsi="Times New Roman" w:cs="Times New Roman"/>
          <w:sz w:val="20"/>
        </w:rPr>
        <w:t xml:space="preserve"> </w:t>
      </w:r>
      <w:r w:rsidRPr="00C4579E">
        <w:rPr>
          <w:rFonts w:ascii="Times New Roman" w:eastAsia="Times New Roman" w:hAnsi="Times New Roman" w:cs="Times New Roman"/>
          <w:sz w:val="20"/>
          <w:lang w:val="en"/>
        </w:rPr>
        <w:t>Based on this description, it can be concluded that in the UK in the modern era, the initial confiscation (confiscation) of criminal assets was based on the Criminal Justice Act (CJA) 1988, which was later amended by the Proceeds of Crime Act (POCA) 1995, which on July 31, 2002, POCA received royal assent and could be implemented. Civil recovery is carried out when confiscation through criminal justice procedures cannot be carried out for certain reasons. This civil confiscation focuses on assets obtained from a crime by ignoring criminal charges against the perpetrator.</w:t>
      </w:r>
    </w:p>
    <w:p w14:paraId="19956DD8" w14:textId="77777777" w:rsidR="004138BC" w:rsidRPr="0015007B" w:rsidRDefault="004138BC" w:rsidP="0015007B">
      <w:pPr>
        <w:spacing w:after="0" w:line="240" w:lineRule="auto"/>
        <w:ind w:firstLine="567"/>
        <w:jc w:val="both"/>
        <w:rPr>
          <w:rFonts w:ascii="Times New Roman" w:eastAsia="Times New Roman" w:hAnsi="Times New Roman" w:cs="Times New Roman"/>
          <w:lang w:val="id"/>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10"/>
        <w:gridCol w:w="2462"/>
        <w:gridCol w:w="960"/>
        <w:gridCol w:w="2123"/>
        <w:gridCol w:w="2772"/>
      </w:tblGrid>
      <w:tr w:rsidR="004138BC" w:rsidRPr="00C4579E" w14:paraId="65DE48D9" w14:textId="77777777" w:rsidTr="00C4579E">
        <w:trPr>
          <w:tblHeader/>
          <w:tblCellSpacing w:w="15" w:type="dxa"/>
        </w:trPr>
        <w:tc>
          <w:tcPr>
            <w:tcW w:w="544" w:type="dxa"/>
            <w:tcBorders>
              <w:top w:val="single" w:sz="4" w:space="0" w:color="auto"/>
              <w:bottom w:val="single" w:sz="4" w:space="0" w:color="auto"/>
            </w:tcBorders>
            <w:vAlign w:val="center"/>
            <w:hideMark/>
          </w:tcPr>
          <w:p w14:paraId="21ED43E3"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Number.</w:t>
            </w:r>
          </w:p>
        </w:tc>
        <w:tc>
          <w:tcPr>
            <w:tcW w:w="2432" w:type="dxa"/>
            <w:tcBorders>
              <w:top w:val="single" w:sz="4" w:space="0" w:color="auto"/>
              <w:bottom w:val="single" w:sz="4" w:space="0" w:color="auto"/>
            </w:tcBorders>
            <w:vAlign w:val="center"/>
            <w:hideMark/>
          </w:tcPr>
          <w:p w14:paraId="265213F6"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Institution Name</w:t>
            </w:r>
          </w:p>
          <w:p w14:paraId="35D49C8F"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p>
        </w:tc>
        <w:tc>
          <w:tcPr>
            <w:tcW w:w="0" w:type="auto"/>
            <w:tcBorders>
              <w:top w:val="single" w:sz="4" w:space="0" w:color="auto"/>
              <w:bottom w:val="single" w:sz="4" w:space="0" w:color="auto"/>
            </w:tcBorders>
            <w:vAlign w:val="center"/>
            <w:hideMark/>
          </w:tcPr>
          <w:p w14:paraId="3886EBC6"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abbreviation</w:t>
            </w:r>
          </w:p>
        </w:tc>
        <w:tc>
          <w:tcPr>
            <w:tcW w:w="0" w:type="auto"/>
            <w:tcBorders>
              <w:top w:val="single" w:sz="4" w:space="0" w:color="auto"/>
              <w:bottom w:val="single" w:sz="4" w:space="0" w:color="auto"/>
            </w:tcBorders>
            <w:vAlign w:val="center"/>
            <w:hideMark/>
          </w:tcPr>
          <w:p w14:paraId="2B0FCBE5"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Ministries/Instantion</w:t>
            </w:r>
          </w:p>
        </w:tc>
        <w:tc>
          <w:tcPr>
            <w:tcW w:w="0" w:type="auto"/>
            <w:tcBorders>
              <w:top w:val="single" w:sz="4" w:space="0" w:color="auto"/>
              <w:bottom w:val="single" w:sz="4" w:space="0" w:color="auto"/>
            </w:tcBorders>
            <w:vAlign w:val="center"/>
            <w:hideMark/>
          </w:tcPr>
          <w:p w14:paraId="180DD62D"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Role in Asset Forfeiture</w:t>
            </w:r>
          </w:p>
        </w:tc>
      </w:tr>
      <w:tr w:rsidR="004138BC" w:rsidRPr="00C4579E" w14:paraId="3712D771" w14:textId="77777777" w:rsidTr="00C4579E">
        <w:trPr>
          <w:tblCellSpacing w:w="15" w:type="dxa"/>
        </w:trPr>
        <w:tc>
          <w:tcPr>
            <w:tcW w:w="544" w:type="dxa"/>
            <w:vAlign w:val="center"/>
            <w:hideMark/>
          </w:tcPr>
          <w:p w14:paraId="1B9D9822"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1</w:t>
            </w:r>
          </w:p>
        </w:tc>
        <w:tc>
          <w:tcPr>
            <w:tcW w:w="2432" w:type="dxa"/>
            <w:vAlign w:val="center"/>
            <w:hideMark/>
          </w:tcPr>
          <w:p w14:paraId="07E20807"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Justice Management Division – Asset Forfeiture Management Staff</w:t>
            </w:r>
          </w:p>
        </w:tc>
        <w:tc>
          <w:tcPr>
            <w:tcW w:w="0" w:type="auto"/>
            <w:vAlign w:val="center"/>
            <w:hideMark/>
          </w:tcPr>
          <w:p w14:paraId="055AA673"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AFMS</w:t>
            </w:r>
          </w:p>
        </w:tc>
        <w:tc>
          <w:tcPr>
            <w:tcW w:w="0" w:type="auto"/>
            <w:vAlign w:val="center"/>
            <w:hideMark/>
          </w:tcPr>
          <w:p w14:paraId="01B03C35"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i/>
                <w:iCs/>
                <w:sz w:val="18"/>
                <w:szCs w:val="18"/>
              </w:rPr>
              <w:t>Department of Justice</w:t>
            </w:r>
            <w:r w:rsidRPr="00C4579E">
              <w:rPr>
                <w:rFonts w:ascii="Times New Roman" w:eastAsia="Times New Roman" w:hAnsi="Times New Roman" w:cs="Times New Roman"/>
                <w:sz w:val="18"/>
                <w:szCs w:val="18"/>
              </w:rPr>
              <w:t xml:space="preserve"> (DOJ)</w:t>
            </w:r>
          </w:p>
        </w:tc>
        <w:tc>
          <w:tcPr>
            <w:tcW w:w="0" w:type="auto"/>
            <w:vAlign w:val="center"/>
            <w:hideMark/>
          </w:tcPr>
          <w:p w14:paraId="61027A1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Managing funds, reporting, and asset seizure information systems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39"/>
            </w:r>
          </w:p>
        </w:tc>
      </w:tr>
      <w:tr w:rsidR="004138BC" w:rsidRPr="00C4579E" w14:paraId="47FD374D" w14:textId="77777777" w:rsidTr="00C4579E">
        <w:trPr>
          <w:tblCellSpacing w:w="15" w:type="dxa"/>
        </w:trPr>
        <w:tc>
          <w:tcPr>
            <w:tcW w:w="544" w:type="dxa"/>
            <w:vAlign w:val="center"/>
            <w:hideMark/>
          </w:tcPr>
          <w:p w14:paraId="68DFEA0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2</w:t>
            </w:r>
          </w:p>
        </w:tc>
        <w:tc>
          <w:tcPr>
            <w:tcW w:w="2432" w:type="dxa"/>
            <w:vAlign w:val="center"/>
            <w:hideMark/>
          </w:tcPr>
          <w:p w14:paraId="712228E4"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Bureau of Alcohol, Tobacco, Firearms, and Explosives</w:t>
            </w:r>
          </w:p>
        </w:tc>
        <w:tc>
          <w:tcPr>
            <w:tcW w:w="0" w:type="auto"/>
            <w:vAlign w:val="center"/>
            <w:hideMark/>
          </w:tcPr>
          <w:p w14:paraId="4687B9EC"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ATF</w:t>
            </w:r>
          </w:p>
        </w:tc>
        <w:tc>
          <w:tcPr>
            <w:tcW w:w="0" w:type="auto"/>
            <w:vAlign w:val="center"/>
            <w:hideMark/>
          </w:tcPr>
          <w:p w14:paraId="5FF47FC1"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41D5F3F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Conducting confiscation of assets related to firearms, explosives, and smuggling</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40"/>
            </w:r>
          </w:p>
        </w:tc>
      </w:tr>
      <w:tr w:rsidR="004138BC" w:rsidRPr="00C4579E" w14:paraId="6B5FE11E" w14:textId="77777777" w:rsidTr="00C4579E">
        <w:trPr>
          <w:tblCellSpacing w:w="15" w:type="dxa"/>
        </w:trPr>
        <w:tc>
          <w:tcPr>
            <w:tcW w:w="544" w:type="dxa"/>
            <w:vAlign w:val="center"/>
            <w:hideMark/>
          </w:tcPr>
          <w:p w14:paraId="583F6661"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3</w:t>
            </w:r>
          </w:p>
        </w:tc>
        <w:tc>
          <w:tcPr>
            <w:tcW w:w="2432" w:type="dxa"/>
            <w:vAlign w:val="center"/>
            <w:hideMark/>
          </w:tcPr>
          <w:p w14:paraId="1347762D"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Drug Enforcement Administration</w:t>
            </w:r>
          </w:p>
        </w:tc>
        <w:tc>
          <w:tcPr>
            <w:tcW w:w="0" w:type="auto"/>
            <w:vAlign w:val="center"/>
            <w:hideMark/>
          </w:tcPr>
          <w:p w14:paraId="378D5525"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DEA</w:t>
            </w:r>
          </w:p>
        </w:tc>
        <w:tc>
          <w:tcPr>
            <w:tcW w:w="0" w:type="auto"/>
            <w:vAlign w:val="center"/>
            <w:hideMark/>
          </w:tcPr>
          <w:p w14:paraId="44083A24"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0AAB5EC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Seizing assets from domestic and international narcotics networks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41"/>
            </w:r>
          </w:p>
        </w:tc>
      </w:tr>
      <w:tr w:rsidR="004138BC" w:rsidRPr="00C4579E" w14:paraId="5898CEFA" w14:textId="77777777" w:rsidTr="00C4579E">
        <w:trPr>
          <w:tblCellSpacing w:w="15" w:type="dxa"/>
        </w:trPr>
        <w:tc>
          <w:tcPr>
            <w:tcW w:w="544" w:type="dxa"/>
            <w:vAlign w:val="center"/>
            <w:hideMark/>
          </w:tcPr>
          <w:p w14:paraId="584C1A2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4</w:t>
            </w:r>
          </w:p>
        </w:tc>
        <w:tc>
          <w:tcPr>
            <w:tcW w:w="2432" w:type="dxa"/>
            <w:vAlign w:val="center"/>
            <w:hideMark/>
          </w:tcPr>
          <w:p w14:paraId="7A945DD9"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Federal Bureau of Investigation</w:t>
            </w:r>
          </w:p>
        </w:tc>
        <w:tc>
          <w:tcPr>
            <w:tcW w:w="0" w:type="auto"/>
            <w:vAlign w:val="center"/>
            <w:hideMark/>
          </w:tcPr>
          <w:p w14:paraId="28E14E90"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FBI</w:t>
            </w:r>
          </w:p>
        </w:tc>
        <w:tc>
          <w:tcPr>
            <w:tcW w:w="0" w:type="auto"/>
            <w:vAlign w:val="center"/>
            <w:hideMark/>
          </w:tcPr>
          <w:p w14:paraId="668FA02F"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2F011BEB"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Conducting investigations and seizures of organized crime, fraud, and corruption</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42"/>
            </w:r>
          </w:p>
        </w:tc>
      </w:tr>
      <w:tr w:rsidR="004138BC" w:rsidRPr="00C4579E" w14:paraId="7BA27A31" w14:textId="77777777" w:rsidTr="00C4579E">
        <w:trPr>
          <w:tblCellSpacing w:w="15" w:type="dxa"/>
        </w:trPr>
        <w:tc>
          <w:tcPr>
            <w:tcW w:w="544" w:type="dxa"/>
            <w:vAlign w:val="center"/>
            <w:hideMark/>
          </w:tcPr>
          <w:p w14:paraId="7949270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5</w:t>
            </w:r>
          </w:p>
        </w:tc>
        <w:tc>
          <w:tcPr>
            <w:tcW w:w="2432" w:type="dxa"/>
            <w:vAlign w:val="center"/>
            <w:hideMark/>
          </w:tcPr>
          <w:p w14:paraId="066B526C"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U.S. Attorneys’ Offices</w:t>
            </w:r>
          </w:p>
        </w:tc>
        <w:tc>
          <w:tcPr>
            <w:tcW w:w="0" w:type="auto"/>
            <w:vAlign w:val="center"/>
            <w:hideMark/>
          </w:tcPr>
          <w:p w14:paraId="5E45BE1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USAO</w:t>
            </w:r>
          </w:p>
        </w:tc>
        <w:tc>
          <w:tcPr>
            <w:tcW w:w="0" w:type="auto"/>
            <w:vAlign w:val="center"/>
            <w:hideMark/>
          </w:tcPr>
          <w:p w14:paraId="349A75C9"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24A57C6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Filing a lawsuit for confiscation, either criminally or civilly (NCB)</w:t>
            </w:r>
            <w:r w:rsidRPr="00C4579E">
              <w:rPr>
                <w:rStyle w:val="FootnoteReference"/>
                <w:rFonts w:ascii="Times New Roman" w:eastAsia="Times New Roman" w:hAnsi="Times New Roman" w:cs="Times New Roman"/>
                <w:sz w:val="18"/>
                <w:szCs w:val="18"/>
              </w:rPr>
              <w:footnoteReference w:id="43"/>
            </w:r>
          </w:p>
        </w:tc>
      </w:tr>
      <w:tr w:rsidR="004138BC" w:rsidRPr="00C4579E" w14:paraId="14D3DF36" w14:textId="77777777" w:rsidTr="00C4579E">
        <w:trPr>
          <w:tblCellSpacing w:w="15" w:type="dxa"/>
        </w:trPr>
        <w:tc>
          <w:tcPr>
            <w:tcW w:w="544" w:type="dxa"/>
            <w:vAlign w:val="center"/>
            <w:hideMark/>
          </w:tcPr>
          <w:p w14:paraId="2336B6E5"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6</w:t>
            </w:r>
          </w:p>
        </w:tc>
        <w:tc>
          <w:tcPr>
            <w:tcW w:w="2432" w:type="dxa"/>
            <w:vAlign w:val="center"/>
            <w:hideMark/>
          </w:tcPr>
          <w:p w14:paraId="051323DF"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U.S. Marshals Service</w:t>
            </w:r>
          </w:p>
        </w:tc>
        <w:tc>
          <w:tcPr>
            <w:tcW w:w="0" w:type="auto"/>
            <w:vAlign w:val="center"/>
            <w:hideMark/>
          </w:tcPr>
          <w:p w14:paraId="4A53C9B9"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USMS</w:t>
            </w:r>
          </w:p>
        </w:tc>
        <w:tc>
          <w:tcPr>
            <w:tcW w:w="0" w:type="auto"/>
            <w:vAlign w:val="center"/>
            <w:hideMark/>
          </w:tcPr>
          <w:p w14:paraId="0B6EA264"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2E588430"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Storing, auctioning, and managing confiscated property</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44"/>
            </w:r>
          </w:p>
        </w:tc>
      </w:tr>
      <w:tr w:rsidR="004138BC" w:rsidRPr="00C4579E" w14:paraId="61226412" w14:textId="77777777" w:rsidTr="00C4579E">
        <w:trPr>
          <w:tblCellSpacing w:w="15" w:type="dxa"/>
        </w:trPr>
        <w:tc>
          <w:tcPr>
            <w:tcW w:w="544" w:type="dxa"/>
            <w:vAlign w:val="center"/>
            <w:hideMark/>
          </w:tcPr>
          <w:p w14:paraId="1F26CFD2"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7</w:t>
            </w:r>
          </w:p>
        </w:tc>
        <w:tc>
          <w:tcPr>
            <w:tcW w:w="2432" w:type="dxa"/>
            <w:vAlign w:val="center"/>
            <w:hideMark/>
          </w:tcPr>
          <w:p w14:paraId="2EFF5D6B"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Money Laundering and Asset Recovery Section, Criminal Division</w:t>
            </w:r>
          </w:p>
        </w:tc>
        <w:tc>
          <w:tcPr>
            <w:tcW w:w="0" w:type="auto"/>
            <w:vAlign w:val="center"/>
            <w:hideMark/>
          </w:tcPr>
          <w:p w14:paraId="15AF9935"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MLARS</w:t>
            </w:r>
          </w:p>
        </w:tc>
        <w:tc>
          <w:tcPr>
            <w:tcW w:w="0" w:type="auto"/>
            <w:vAlign w:val="center"/>
            <w:hideMark/>
          </w:tcPr>
          <w:p w14:paraId="0C9536BC"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DOJ</w:t>
            </w:r>
          </w:p>
        </w:tc>
        <w:tc>
          <w:tcPr>
            <w:tcW w:w="0" w:type="auto"/>
            <w:vAlign w:val="center"/>
            <w:hideMark/>
          </w:tcPr>
          <w:p w14:paraId="536191C7"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Developing national policies and litigation in money laundering and confiscation cases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45"/>
            </w:r>
          </w:p>
        </w:tc>
      </w:tr>
      <w:tr w:rsidR="004138BC" w:rsidRPr="00C4579E" w14:paraId="2C655A53" w14:textId="77777777" w:rsidTr="00C4579E">
        <w:trPr>
          <w:tblCellSpacing w:w="15" w:type="dxa"/>
        </w:trPr>
        <w:tc>
          <w:tcPr>
            <w:tcW w:w="544" w:type="dxa"/>
            <w:vAlign w:val="center"/>
            <w:hideMark/>
          </w:tcPr>
          <w:p w14:paraId="7F65EC23"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8</w:t>
            </w:r>
          </w:p>
        </w:tc>
        <w:tc>
          <w:tcPr>
            <w:tcW w:w="2432" w:type="dxa"/>
            <w:vAlign w:val="center"/>
            <w:hideMark/>
          </w:tcPr>
          <w:p w14:paraId="0421069C"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Organized Crime Drug Enforcement Task Forces</w:t>
            </w:r>
          </w:p>
        </w:tc>
        <w:tc>
          <w:tcPr>
            <w:tcW w:w="0" w:type="auto"/>
            <w:vAlign w:val="center"/>
            <w:hideMark/>
          </w:tcPr>
          <w:p w14:paraId="020746F2"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OCDETF</w:t>
            </w:r>
          </w:p>
        </w:tc>
        <w:tc>
          <w:tcPr>
            <w:tcW w:w="0" w:type="auto"/>
            <w:vAlign w:val="center"/>
            <w:hideMark/>
          </w:tcPr>
          <w:p w14:paraId="6C397533"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DOJ </w:t>
            </w:r>
            <w:r w:rsidRPr="00C4579E">
              <w:rPr>
                <w:rFonts w:ascii="Times New Roman" w:eastAsia="Times New Roman" w:hAnsi="Times New Roman" w:cs="Times New Roman"/>
                <w:sz w:val="18"/>
                <w:szCs w:val="18"/>
                <w:lang w:val="en"/>
              </w:rPr>
              <w:t>(cross-institutional)</w:t>
            </w:r>
          </w:p>
        </w:tc>
        <w:tc>
          <w:tcPr>
            <w:tcW w:w="0" w:type="auto"/>
            <w:vAlign w:val="center"/>
            <w:hideMark/>
          </w:tcPr>
          <w:p w14:paraId="735203B6"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Coordinating seizures in narcotics and transnational crime cases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46"/>
            </w:r>
          </w:p>
        </w:tc>
      </w:tr>
      <w:tr w:rsidR="004138BC" w:rsidRPr="00C4579E" w14:paraId="3E4E01FB" w14:textId="77777777" w:rsidTr="00C4579E">
        <w:trPr>
          <w:tblCellSpacing w:w="15" w:type="dxa"/>
        </w:trPr>
        <w:tc>
          <w:tcPr>
            <w:tcW w:w="544" w:type="dxa"/>
            <w:vAlign w:val="center"/>
            <w:hideMark/>
          </w:tcPr>
          <w:p w14:paraId="4746E9B5"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9</w:t>
            </w:r>
          </w:p>
        </w:tc>
        <w:tc>
          <w:tcPr>
            <w:tcW w:w="2432" w:type="dxa"/>
            <w:vAlign w:val="center"/>
            <w:hideMark/>
          </w:tcPr>
          <w:p w14:paraId="0680B081"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Office of Inspector General – Department of Agriculture</w:t>
            </w:r>
          </w:p>
        </w:tc>
        <w:tc>
          <w:tcPr>
            <w:tcW w:w="0" w:type="auto"/>
            <w:vAlign w:val="center"/>
            <w:hideMark/>
          </w:tcPr>
          <w:p w14:paraId="11FFFFFC"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USDA-OIG</w:t>
            </w:r>
          </w:p>
        </w:tc>
        <w:tc>
          <w:tcPr>
            <w:tcW w:w="0" w:type="auto"/>
            <w:vAlign w:val="center"/>
            <w:hideMark/>
          </w:tcPr>
          <w:p w14:paraId="250C2617"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Department of Agriculture</w:t>
            </w:r>
          </w:p>
        </w:tc>
        <w:tc>
          <w:tcPr>
            <w:tcW w:w="0" w:type="auto"/>
            <w:vAlign w:val="center"/>
            <w:hideMark/>
          </w:tcPr>
          <w:p w14:paraId="5E1DF507"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Seized assets in an agricultural program and subsidy fraud case</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47"/>
            </w:r>
          </w:p>
        </w:tc>
      </w:tr>
      <w:tr w:rsidR="004138BC" w:rsidRPr="00C4579E" w14:paraId="091EB7A7" w14:textId="77777777" w:rsidTr="00C4579E">
        <w:trPr>
          <w:tblCellSpacing w:w="15" w:type="dxa"/>
        </w:trPr>
        <w:tc>
          <w:tcPr>
            <w:tcW w:w="544" w:type="dxa"/>
            <w:vAlign w:val="center"/>
            <w:hideMark/>
          </w:tcPr>
          <w:p w14:paraId="51AEDE5D"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10</w:t>
            </w:r>
          </w:p>
        </w:tc>
        <w:tc>
          <w:tcPr>
            <w:tcW w:w="2432" w:type="dxa"/>
            <w:vAlign w:val="center"/>
            <w:hideMark/>
          </w:tcPr>
          <w:p w14:paraId="3C956A01"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Defense Criminal Investigative Service</w:t>
            </w:r>
          </w:p>
        </w:tc>
        <w:tc>
          <w:tcPr>
            <w:tcW w:w="0" w:type="auto"/>
            <w:vAlign w:val="center"/>
            <w:hideMark/>
          </w:tcPr>
          <w:p w14:paraId="4B10887F"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DCIS</w:t>
            </w:r>
          </w:p>
        </w:tc>
        <w:tc>
          <w:tcPr>
            <w:tcW w:w="0" w:type="auto"/>
            <w:vAlign w:val="center"/>
            <w:hideMark/>
          </w:tcPr>
          <w:p w14:paraId="54514BB3"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Department of Defense</w:t>
            </w:r>
          </w:p>
        </w:tc>
        <w:tc>
          <w:tcPr>
            <w:tcW w:w="0" w:type="auto"/>
            <w:vAlign w:val="center"/>
            <w:hideMark/>
          </w:tcPr>
          <w:p w14:paraId="4DD1EA84"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Supporting asset seizures in procurement, military corruption, and defense contract cases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48"/>
            </w:r>
          </w:p>
        </w:tc>
      </w:tr>
      <w:tr w:rsidR="004138BC" w:rsidRPr="00C4579E" w14:paraId="2EB6EA4C" w14:textId="77777777" w:rsidTr="00C4579E">
        <w:trPr>
          <w:tblCellSpacing w:w="15" w:type="dxa"/>
        </w:trPr>
        <w:tc>
          <w:tcPr>
            <w:tcW w:w="544" w:type="dxa"/>
            <w:vAlign w:val="center"/>
            <w:hideMark/>
          </w:tcPr>
          <w:p w14:paraId="7A783225"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lastRenderedPageBreak/>
              <w:t>11</w:t>
            </w:r>
          </w:p>
        </w:tc>
        <w:tc>
          <w:tcPr>
            <w:tcW w:w="2432" w:type="dxa"/>
            <w:vAlign w:val="center"/>
            <w:hideMark/>
          </w:tcPr>
          <w:p w14:paraId="7028A349"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Bureau of Diplomatic Security</w:t>
            </w:r>
          </w:p>
        </w:tc>
        <w:tc>
          <w:tcPr>
            <w:tcW w:w="0" w:type="auto"/>
            <w:vAlign w:val="center"/>
            <w:hideMark/>
          </w:tcPr>
          <w:p w14:paraId="620D0C72"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DSS</w:t>
            </w:r>
          </w:p>
        </w:tc>
        <w:tc>
          <w:tcPr>
            <w:tcW w:w="0" w:type="auto"/>
            <w:vAlign w:val="center"/>
            <w:hideMark/>
          </w:tcPr>
          <w:p w14:paraId="29A3650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Department of State</w:t>
            </w:r>
          </w:p>
        </w:tc>
        <w:tc>
          <w:tcPr>
            <w:tcW w:w="0" w:type="auto"/>
            <w:vAlign w:val="center"/>
            <w:hideMark/>
          </w:tcPr>
          <w:p w14:paraId="7C67A1CB"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Carrying out asset seizures in cases of violations of foreign and diplomatic laws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49"/>
            </w:r>
          </w:p>
        </w:tc>
      </w:tr>
      <w:tr w:rsidR="004138BC" w:rsidRPr="00C4579E" w14:paraId="730FFDA9" w14:textId="77777777" w:rsidTr="00C4579E">
        <w:trPr>
          <w:tblCellSpacing w:w="15" w:type="dxa"/>
        </w:trPr>
        <w:tc>
          <w:tcPr>
            <w:tcW w:w="544" w:type="dxa"/>
            <w:vAlign w:val="center"/>
            <w:hideMark/>
          </w:tcPr>
          <w:p w14:paraId="3A4741B2"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12</w:t>
            </w:r>
          </w:p>
        </w:tc>
        <w:tc>
          <w:tcPr>
            <w:tcW w:w="2432" w:type="dxa"/>
            <w:vAlign w:val="center"/>
            <w:hideMark/>
          </w:tcPr>
          <w:p w14:paraId="5AB02C91" w14:textId="77777777" w:rsidR="004138BC" w:rsidRPr="00C4579E" w:rsidRDefault="004138BC" w:rsidP="00C4579E">
            <w:pPr>
              <w:spacing w:after="0" w:line="240" w:lineRule="auto"/>
              <w:jc w:val="both"/>
              <w:rPr>
                <w:rFonts w:ascii="Times New Roman" w:eastAsia="Times New Roman" w:hAnsi="Times New Roman" w:cs="Times New Roman"/>
                <w:i/>
                <w:iCs/>
                <w:sz w:val="18"/>
                <w:szCs w:val="18"/>
              </w:rPr>
            </w:pPr>
            <w:r w:rsidRPr="00C4579E">
              <w:rPr>
                <w:rFonts w:ascii="Times New Roman" w:eastAsia="Times New Roman" w:hAnsi="Times New Roman" w:cs="Times New Roman"/>
                <w:i/>
                <w:iCs/>
                <w:sz w:val="18"/>
                <w:szCs w:val="18"/>
              </w:rPr>
              <w:t>Office of Criminal Investigations – Food and Drug Administration</w:t>
            </w:r>
          </w:p>
        </w:tc>
        <w:tc>
          <w:tcPr>
            <w:tcW w:w="0" w:type="auto"/>
            <w:vAlign w:val="center"/>
            <w:hideMark/>
          </w:tcPr>
          <w:p w14:paraId="33AAADE3"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FDA-OCI</w:t>
            </w:r>
          </w:p>
        </w:tc>
        <w:tc>
          <w:tcPr>
            <w:tcW w:w="0" w:type="auto"/>
            <w:vAlign w:val="center"/>
            <w:hideMark/>
          </w:tcPr>
          <w:p w14:paraId="35DDB6EE"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Department of Health &amp; Human Services</w:t>
            </w:r>
          </w:p>
        </w:tc>
        <w:tc>
          <w:tcPr>
            <w:tcW w:w="0" w:type="auto"/>
            <w:vAlign w:val="center"/>
            <w:hideMark/>
          </w:tcPr>
          <w:p w14:paraId="15BF9DA8"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Menyita aset dalam kasus obat palsu, pangan ilegal, dan pelanggaran FDA.</w:t>
            </w:r>
            <w:r w:rsidRPr="00C4579E">
              <w:rPr>
                <w:rStyle w:val="FootnoteReference"/>
                <w:rFonts w:ascii="Times New Roman" w:eastAsia="Times New Roman" w:hAnsi="Times New Roman" w:cs="Times New Roman"/>
                <w:sz w:val="18"/>
                <w:szCs w:val="18"/>
              </w:rPr>
              <w:footnoteReference w:id="50"/>
            </w:r>
          </w:p>
        </w:tc>
      </w:tr>
      <w:tr w:rsidR="004138BC" w:rsidRPr="00C4579E" w14:paraId="1A1336DD" w14:textId="77777777" w:rsidTr="00C4579E">
        <w:trPr>
          <w:tblCellSpacing w:w="15" w:type="dxa"/>
        </w:trPr>
        <w:tc>
          <w:tcPr>
            <w:tcW w:w="544" w:type="dxa"/>
            <w:vAlign w:val="center"/>
            <w:hideMark/>
          </w:tcPr>
          <w:p w14:paraId="47832F1C"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13</w:t>
            </w:r>
          </w:p>
        </w:tc>
        <w:tc>
          <w:tcPr>
            <w:tcW w:w="2432" w:type="dxa"/>
            <w:vAlign w:val="center"/>
            <w:hideMark/>
          </w:tcPr>
          <w:p w14:paraId="0EB3229C"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Postal Inspection Service</w:t>
            </w:r>
          </w:p>
        </w:tc>
        <w:tc>
          <w:tcPr>
            <w:tcW w:w="0" w:type="auto"/>
            <w:vAlign w:val="center"/>
            <w:hideMark/>
          </w:tcPr>
          <w:p w14:paraId="0943818F"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USPIS</w:t>
            </w:r>
          </w:p>
        </w:tc>
        <w:tc>
          <w:tcPr>
            <w:tcW w:w="0" w:type="auto"/>
            <w:vAlign w:val="center"/>
            <w:hideMark/>
          </w:tcPr>
          <w:p w14:paraId="7DCDF7FA"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rPr>
              <w:t xml:space="preserve">U.S. </w:t>
            </w:r>
            <w:r w:rsidRPr="00C4579E">
              <w:rPr>
                <w:rFonts w:ascii="Times New Roman" w:eastAsia="Times New Roman" w:hAnsi="Times New Roman" w:cs="Times New Roman"/>
                <w:i/>
                <w:iCs/>
                <w:sz w:val="18"/>
                <w:szCs w:val="18"/>
              </w:rPr>
              <w:t>Postal Service</w:t>
            </w:r>
          </w:p>
        </w:tc>
        <w:tc>
          <w:tcPr>
            <w:tcW w:w="0" w:type="auto"/>
            <w:vAlign w:val="center"/>
            <w:hideMark/>
          </w:tcPr>
          <w:p w14:paraId="61AF3864" w14:textId="77777777" w:rsidR="004138BC" w:rsidRPr="00C4579E" w:rsidRDefault="004138BC" w:rsidP="00C4579E">
            <w:pPr>
              <w:spacing w:after="0" w:line="240" w:lineRule="auto"/>
              <w:jc w:val="both"/>
              <w:rPr>
                <w:rFonts w:ascii="Times New Roman" w:eastAsia="Times New Roman" w:hAnsi="Times New Roman" w:cs="Times New Roman"/>
                <w:sz w:val="18"/>
                <w:szCs w:val="18"/>
              </w:rPr>
            </w:pPr>
            <w:r w:rsidRPr="00C4579E">
              <w:rPr>
                <w:rFonts w:ascii="Times New Roman" w:eastAsia="Times New Roman" w:hAnsi="Times New Roman" w:cs="Times New Roman"/>
                <w:sz w:val="18"/>
                <w:szCs w:val="18"/>
                <w:lang w:val="en"/>
              </w:rPr>
              <w:t>Conducting seizures for violations of the law using postal or delivery services</w:t>
            </w:r>
            <w:r w:rsidRPr="00C4579E">
              <w:rPr>
                <w:rFonts w:ascii="Times New Roman" w:eastAsia="Times New Roman" w:hAnsi="Times New Roman" w:cs="Times New Roman"/>
                <w:sz w:val="18"/>
                <w:szCs w:val="18"/>
              </w:rPr>
              <w:t>.</w:t>
            </w:r>
            <w:r w:rsidRPr="00C4579E">
              <w:rPr>
                <w:rStyle w:val="FootnoteReference"/>
                <w:rFonts w:ascii="Times New Roman" w:eastAsia="Times New Roman" w:hAnsi="Times New Roman" w:cs="Times New Roman"/>
                <w:sz w:val="18"/>
                <w:szCs w:val="18"/>
              </w:rPr>
              <w:footnoteReference w:id="51"/>
            </w:r>
          </w:p>
        </w:tc>
      </w:tr>
    </w:tbl>
    <w:p w14:paraId="6E2C6A4A" w14:textId="77777777" w:rsidR="004138BC" w:rsidRPr="0015007B" w:rsidRDefault="004138BC" w:rsidP="0015007B">
      <w:pPr>
        <w:spacing w:after="0" w:line="240" w:lineRule="auto"/>
        <w:ind w:firstLine="567"/>
        <w:jc w:val="both"/>
        <w:rPr>
          <w:rFonts w:ascii="Times New Roman" w:hAnsi="Times New Roman" w:cs="Times New Roman"/>
        </w:rPr>
      </w:pPr>
    </w:p>
    <w:p w14:paraId="171D1979" w14:textId="77777777" w:rsidR="002F1DDC" w:rsidRPr="0015007B" w:rsidRDefault="002F1DDC" w:rsidP="0015007B">
      <w:pPr>
        <w:spacing w:after="0" w:line="240" w:lineRule="auto"/>
        <w:jc w:val="both"/>
        <w:rPr>
          <w:rFonts w:ascii="Times New Roman" w:hAnsi="Times New Roman" w:cs="Times New Roman"/>
        </w:rPr>
      </w:pPr>
    </w:p>
    <w:sectPr w:rsidR="002F1DDC" w:rsidRPr="0015007B" w:rsidSect="009E20B0">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1134" w:footer="1134" w:gutter="0"/>
      <w:pgNumType w:start="4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BB39A" w14:textId="77777777" w:rsidR="004F773D" w:rsidRDefault="004F773D" w:rsidP="004138BC">
      <w:pPr>
        <w:spacing w:after="0" w:line="240" w:lineRule="auto"/>
      </w:pPr>
      <w:r>
        <w:separator/>
      </w:r>
    </w:p>
  </w:endnote>
  <w:endnote w:type="continuationSeparator" w:id="0">
    <w:p w14:paraId="4C79850F" w14:textId="77777777" w:rsidR="004F773D" w:rsidRDefault="004F773D" w:rsidP="0041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adea">
    <w:altName w:val="Segoe Prin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3710" w14:textId="2521E328" w:rsidR="0015007B" w:rsidRDefault="0015007B" w:rsidP="0015007B">
    <w:pPr>
      <w:pBdr>
        <w:top w:val="single" w:sz="4" w:space="1" w:color="auto"/>
      </w:pBdr>
      <w:tabs>
        <w:tab w:val="center" w:pos="4320"/>
        <w:tab w:val="right" w:pos="8640"/>
      </w:tabs>
      <w:spacing w:before="240" w:after="0" w:line="240" w:lineRule="auto"/>
    </w:pPr>
    <w:r w:rsidRPr="0015007B">
      <w:rPr>
        <w:rFonts w:ascii="Times New Roman" w:eastAsia="Times New Roman" w:hAnsi="Times New Roman" w:cs="Times New Roman"/>
        <w:i/>
        <w:sz w:val="20"/>
        <w:szCs w:val="18"/>
      </w:rPr>
      <w:t>Proceeding</w:t>
    </w:r>
    <w:r w:rsidRPr="0015007B">
      <w:rPr>
        <w:rFonts w:ascii="Times New Roman" w:eastAsia="Times New Roman" w:hAnsi="Times New Roman" w:cs="Times New Roman"/>
        <w:i/>
        <w:sz w:val="20"/>
        <w:szCs w:val="18"/>
        <w:lang w:val="id-ID"/>
      </w:rPr>
      <w:t>s</w:t>
    </w:r>
    <w:r w:rsidRPr="0015007B">
      <w:rPr>
        <w:rFonts w:ascii="Times New Roman" w:eastAsia="Times New Roman" w:hAnsi="Times New Roman" w:cs="Times New Roman"/>
        <w:i/>
        <w:sz w:val="20"/>
        <w:szCs w:val="18"/>
      </w:rPr>
      <w:t xml:space="preserve"> homepage: </w:t>
    </w:r>
    <w:hyperlink r:id="rId1" w:history="1">
      <w:r w:rsidRPr="0015007B">
        <w:rPr>
          <w:rFonts w:ascii="Times New Roman" w:eastAsia="Times New Roman" w:hAnsi="Times New Roman" w:cs="Times New Roman"/>
          <w:i/>
          <w:color w:val="0000FF"/>
          <w:sz w:val="20"/>
          <w:szCs w:val="18"/>
          <w:u w:val="single"/>
        </w:rPr>
        <w:t>https://conferenceproceedings.ump.ac.id/index.php/pssh/issue/view/28</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BDCC" w14:textId="457DC976" w:rsidR="0015007B" w:rsidRDefault="0015007B" w:rsidP="0015007B">
    <w:pPr>
      <w:pBdr>
        <w:top w:val="single" w:sz="4" w:space="1" w:color="auto"/>
      </w:pBdr>
      <w:tabs>
        <w:tab w:val="center" w:pos="4320"/>
        <w:tab w:val="right" w:pos="8640"/>
      </w:tabs>
      <w:spacing w:before="240" w:after="0" w:line="240" w:lineRule="auto"/>
    </w:pPr>
    <w:r w:rsidRPr="0015007B">
      <w:rPr>
        <w:rFonts w:ascii="Times New Roman" w:eastAsia="Times New Roman" w:hAnsi="Times New Roman" w:cs="Times New Roman"/>
        <w:i/>
        <w:sz w:val="20"/>
        <w:szCs w:val="18"/>
      </w:rPr>
      <w:t>Proceeding</w:t>
    </w:r>
    <w:r w:rsidRPr="0015007B">
      <w:rPr>
        <w:rFonts w:ascii="Times New Roman" w:eastAsia="Times New Roman" w:hAnsi="Times New Roman" w:cs="Times New Roman"/>
        <w:i/>
        <w:sz w:val="20"/>
        <w:szCs w:val="18"/>
        <w:lang w:val="id-ID"/>
      </w:rPr>
      <w:t>s</w:t>
    </w:r>
    <w:r w:rsidRPr="0015007B">
      <w:rPr>
        <w:rFonts w:ascii="Times New Roman" w:eastAsia="Times New Roman" w:hAnsi="Times New Roman" w:cs="Times New Roman"/>
        <w:i/>
        <w:sz w:val="20"/>
        <w:szCs w:val="18"/>
      </w:rPr>
      <w:t xml:space="preserve"> homepage: </w:t>
    </w:r>
    <w:hyperlink r:id="rId1" w:history="1">
      <w:r w:rsidRPr="0015007B">
        <w:rPr>
          <w:rFonts w:ascii="Times New Roman" w:eastAsia="Times New Roman" w:hAnsi="Times New Roman" w:cs="Times New Roman"/>
          <w:i/>
          <w:color w:val="0000FF"/>
          <w:sz w:val="20"/>
          <w:szCs w:val="18"/>
          <w:u w:val="single"/>
        </w:rPr>
        <w:t>https://conferenceproceedings.ump.ac.id/index.php/pssh/issue/view/28</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C8FBE" w14:textId="2DCB7110" w:rsidR="0015007B" w:rsidRDefault="0015007B" w:rsidP="0015007B">
    <w:pPr>
      <w:pBdr>
        <w:top w:val="single" w:sz="4" w:space="1" w:color="auto"/>
      </w:pBdr>
      <w:tabs>
        <w:tab w:val="center" w:pos="4320"/>
        <w:tab w:val="right" w:pos="8640"/>
      </w:tabs>
      <w:spacing w:before="240" w:after="0" w:line="240" w:lineRule="auto"/>
    </w:pPr>
    <w:r w:rsidRPr="0015007B">
      <w:rPr>
        <w:rFonts w:ascii="Times New Roman" w:eastAsia="Times New Roman" w:hAnsi="Times New Roman" w:cs="Times New Roman"/>
        <w:i/>
        <w:sz w:val="20"/>
        <w:szCs w:val="18"/>
      </w:rPr>
      <w:t>Proceeding</w:t>
    </w:r>
    <w:r w:rsidRPr="0015007B">
      <w:rPr>
        <w:rFonts w:ascii="Times New Roman" w:eastAsia="Times New Roman" w:hAnsi="Times New Roman" w:cs="Times New Roman"/>
        <w:i/>
        <w:sz w:val="20"/>
        <w:szCs w:val="18"/>
        <w:lang w:val="id-ID"/>
      </w:rPr>
      <w:t>s</w:t>
    </w:r>
    <w:r w:rsidRPr="0015007B">
      <w:rPr>
        <w:rFonts w:ascii="Times New Roman" w:eastAsia="Times New Roman" w:hAnsi="Times New Roman" w:cs="Times New Roman"/>
        <w:i/>
        <w:sz w:val="20"/>
        <w:szCs w:val="18"/>
      </w:rPr>
      <w:t xml:space="preserve"> homepage: </w:t>
    </w:r>
    <w:hyperlink r:id="rId1" w:history="1">
      <w:r w:rsidRPr="0015007B">
        <w:rPr>
          <w:rFonts w:ascii="Times New Roman" w:eastAsia="Times New Roman" w:hAnsi="Times New Roman" w:cs="Times New Roman"/>
          <w:i/>
          <w:color w:val="0000FF"/>
          <w:sz w:val="20"/>
          <w:szCs w:val="18"/>
          <w:u w:val="single"/>
        </w:rPr>
        <w:t>https://conferenceproceedings.ump.ac.id/index.php/pssh/issue/view/28</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E0B34" w14:textId="77777777" w:rsidR="004F773D" w:rsidRDefault="004F773D" w:rsidP="004138BC">
      <w:pPr>
        <w:spacing w:after="0" w:line="240" w:lineRule="auto"/>
      </w:pPr>
      <w:r>
        <w:separator/>
      </w:r>
    </w:p>
  </w:footnote>
  <w:footnote w:type="continuationSeparator" w:id="0">
    <w:p w14:paraId="7FE1435E" w14:textId="77777777" w:rsidR="004F773D" w:rsidRDefault="004F773D" w:rsidP="004138BC">
      <w:pPr>
        <w:spacing w:after="0" w:line="240" w:lineRule="auto"/>
      </w:pPr>
      <w:r>
        <w:continuationSeparator/>
      </w:r>
    </w:p>
  </w:footnote>
  <w:footnote w:id="1">
    <w:p w14:paraId="38F686F4" w14:textId="61B4F37F"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Financial Action Task Force. (2023). </w:t>
      </w:r>
      <w:r w:rsidRPr="005D58B4">
        <w:rPr>
          <w:rFonts w:ascii="Times New Roman" w:hAnsi="Times New Roman" w:cs="Times New Roman"/>
          <w:i/>
          <w:iCs/>
          <w:sz w:val="16"/>
          <w:szCs w:val="16"/>
        </w:rPr>
        <w:t>International Standards on Combating Money Laundering and the Financing of Terrorism &amp; Proliferation: The FATF Recommendations</w:t>
      </w:r>
      <w:r w:rsidRPr="005D58B4">
        <w:rPr>
          <w:rFonts w:ascii="Times New Roman" w:hAnsi="Times New Roman" w:cs="Times New Roman"/>
          <w:sz w:val="16"/>
          <w:szCs w:val="16"/>
        </w:rPr>
        <w:t>. FATF. p. 11. </w:t>
      </w:r>
      <w:hyperlink r:id="rId1" w:tgtFrame="_blank" w:history="1">
        <w:r w:rsidRPr="005D58B4">
          <w:rPr>
            <w:rStyle w:val="Hyperlink"/>
            <w:rFonts w:ascii="Times New Roman" w:hAnsi="Times New Roman" w:cs="Times New Roman"/>
            <w:color w:val="auto"/>
            <w:sz w:val="16"/>
            <w:szCs w:val="16"/>
            <w:u w:val="none"/>
          </w:rPr>
          <w:t>https://www.fatf-gafi.org/content/fatf-gafi/en/publications/Fatfrecommendations/fatf-recommendations.html</w:t>
        </w:r>
      </w:hyperlink>
    </w:p>
  </w:footnote>
  <w:footnote w:id="2">
    <w:p w14:paraId="64A41209" w14:textId="75EE4200"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For a comprehensive overview of NCB-AF as a tool, see: Kennedy, M. V. (2018). </w:t>
      </w:r>
      <w:r w:rsidRPr="005D58B4">
        <w:rPr>
          <w:rFonts w:ascii="Times New Roman" w:hAnsi="Times New Roman" w:cs="Times New Roman"/>
          <w:i/>
          <w:iCs/>
          <w:sz w:val="16"/>
          <w:szCs w:val="16"/>
        </w:rPr>
        <w:t>Asset Forfeiture and Money Laundering: A Comparative Approach</w:t>
      </w:r>
      <w:r w:rsidRPr="005D58B4">
        <w:rPr>
          <w:rFonts w:ascii="Times New Roman" w:hAnsi="Times New Roman" w:cs="Times New Roman"/>
          <w:sz w:val="16"/>
          <w:szCs w:val="16"/>
        </w:rPr>
        <w:t>. Oxford University Press. p. 45.</w:t>
      </w:r>
    </w:p>
  </w:footnote>
  <w:footnote w:id="3">
    <w:p w14:paraId="0554C37B" w14:textId="5066E54C"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G.A. Res. 58/4, United Nations Convention Against Corruption, UNCAC (Oct. 31, 2003). xiv Martin Collins &amp; Colin King, The Disruption of Crime in Scotland through Non-Conviction Based Forfeiture, 16 Journal of Money Laundering Control 379 (2013); AJ van der Walt, Civil Forfeiture of Instrumentalities and Proceeds of Crime and the Constitutional Property Clause, 16 South African Journal of human rights 1 (2000); Colin King, Using Civil Processes in Pursuit of Criminal Law Objectives: A Case Study of Non-conviction-based Asset Forfeiture, 16 International justice of Evidence &amp; Proof 337, 337–63 (2012).</w:t>
      </w:r>
    </w:p>
  </w:footnote>
  <w:footnote w:id="4">
    <w:p w14:paraId="1FDC01DA" w14:textId="167772A6"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Financial Action Task Force. (2023). </w:t>
      </w:r>
      <w:r w:rsidRPr="005D58B4">
        <w:rPr>
          <w:rFonts w:ascii="Times New Roman" w:hAnsi="Times New Roman" w:cs="Times New Roman"/>
          <w:i/>
          <w:iCs/>
          <w:sz w:val="16"/>
          <w:szCs w:val="16"/>
        </w:rPr>
        <w:t>International Standards on Combating Money Laundering and the Financing of Terrorism &amp; Proliferation: The FATF Recommendations</w:t>
      </w:r>
      <w:r w:rsidRPr="005D58B4">
        <w:rPr>
          <w:rFonts w:ascii="Times New Roman" w:hAnsi="Times New Roman" w:cs="Times New Roman"/>
          <w:sz w:val="16"/>
          <w:szCs w:val="16"/>
        </w:rPr>
        <w:t>. FATF.p. 11. </w:t>
      </w:r>
      <w:hyperlink r:id="rId2" w:tgtFrame="_blank" w:history="1">
        <w:r w:rsidRPr="005D58B4">
          <w:rPr>
            <w:rStyle w:val="Hyperlink"/>
            <w:rFonts w:ascii="Times New Roman" w:hAnsi="Times New Roman" w:cs="Times New Roman"/>
            <w:color w:val="auto"/>
            <w:sz w:val="16"/>
            <w:szCs w:val="16"/>
            <w:u w:val="none"/>
          </w:rPr>
          <w:t>https://www.fatf-gafi.org/content/fatf-gafi/en/publications/Fatfrecommendations/fatf-recommendations.html</w:t>
        </w:r>
      </w:hyperlink>
    </w:p>
  </w:footnote>
  <w:footnote w:id="5">
    <w:p w14:paraId="563FDC90" w14:textId="7F75FC34"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The legal and ethical tensions inherent in NCB-AF are explored in: Gray, L. (2021). </w:t>
      </w:r>
      <w:r w:rsidRPr="005D58B4">
        <w:rPr>
          <w:rFonts w:ascii="Times New Roman" w:hAnsi="Times New Roman" w:cs="Times New Roman"/>
          <w:i/>
          <w:iCs/>
          <w:sz w:val="16"/>
          <w:szCs w:val="16"/>
        </w:rPr>
        <w:t>Policing, Asset Forfeiture, and the Presumption of Innocence</w:t>
      </w:r>
      <w:r w:rsidRPr="005D58B4">
        <w:rPr>
          <w:rFonts w:ascii="Times New Roman" w:hAnsi="Times New Roman" w:cs="Times New Roman"/>
          <w:sz w:val="16"/>
          <w:szCs w:val="16"/>
        </w:rPr>
        <w:t>. Cambridge Law Journal, 80(2), 245-268. p. 247.</w:t>
      </w:r>
    </w:p>
  </w:footnote>
  <w:footnote w:id="6">
    <w:p w14:paraId="6AFD6E61" w14:textId="6C59560B"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The tension between enforcing international obligations and upholding national constitutional rights is the study's central challenge. See: United Nations Office on Drugs and Crime. (2004). </w:t>
      </w:r>
      <w:r w:rsidRPr="005D58B4">
        <w:rPr>
          <w:rFonts w:ascii="Times New Roman" w:hAnsi="Times New Roman" w:cs="Times New Roman"/>
          <w:i/>
          <w:iCs/>
          <w:sz w:val="16"/>
          <w:szCs w:val="16"/>
        </w:rPr>
        <w:t>United Nations Convention against Corruption</w:t>
      </w:r>
      <w:r w:rsidRPr="005D58B4">
        <w:rPr>
          <w:rFonts w:ascii="Times New Roman" w:hAnsi="Times New Roman" w:cs="Times New Roman"/>
          <w:sz w:val="16"/>
          <w:szCs w:val="16"/>
        </w:rPr>
        <w:t>. United Nations. p. 48.</w:t>
      </w:r>
    </w:p>
  </w:footnote>
  <w:footnote w:id="7">
    <w:p w14:paraId="178078ED" w14:textId="3A46C747"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Analyzing comparative models is essential for identifying best practices. See: Kennedy, M. V. (2018). </w:t>
      </w:r>
      <w:r w:rsidRPr="005D58B4">
        <w:rPr>
          <w:rFonts w:ascii="Times New Roman" w:hAnsi="Times New Roman" w:cs="Times New Roman"/>
          <w:i/>
          <w:iCs/>
          <w:sz w:val="16"/>
          <w:szCs w:val="16"/>
        </w:rPr>
        <w:t>Asset Forfeiture and Money Laundering: A Comparative Approach</w:t>
      </w:r>
      <w:r w:rsidRPr="005D58B4">
        <w:rPr>
          <w:rFonts w:ascii="Times New Roman" w:hAnsi="Times New Roman" w:cs="Times New Roman"/>
          <w:sz w:val="16"/>
          <w:szCs w:val="16"/>
        </w:rPr>
        <w:t>. Oxford University Press. p. 115.</w:t>
      </w:r>
    </w:p>
  </w:footnote>
  <w:footnote w:id="8">
    <w:p w14:paraId="36ABCEFA" w14:textId="4857BC32"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The research aims to provide a prescriptive, context-specific model for Indonesian legal reform. See: Butt, S. (2015). </w:t>
      </w:r>
      <w:r w:rsidRPr="005D58B4">
        <w:rPr>
          <w:rFonts w:ascii="Times New Roman" w:hAnsi="Times New Roman" w:cs="Times New Roman"/>
          <w:i/>
          <w:iCs/>
          <w:sz w:val="16"/>
          <w:szCs w:val="16"/>
        </w:rPr>
        <w:t>The Constitutional Court and Democracy in Indonesia</w:t>
      </w:r>
      <w:r w:rsidRPr="005D58B4">
        <w:rPr>
          <w:rFonts w:ascii="Times New Roman" w:hAnsi="Times New Roman" w:cs="Times New Roman"/>
          <w:sz w:val="16"/>
          <w:szCs w:val="16"/>
        </w:rPr>
        <w:t>. Brill. p. 45.</w:t>
      </w:r>
    </w:p>
  </w:footnote>
  <w:footnote w:id="9">
    <w:p w14:paraId="78300D1B" w14:textId="68DB95FD"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For a detailed explanation of this methodology, see: Mariana, F. (2020). </w:t>
      </w:r>
      <w:r w:rsidRPr="005D58B4">
        <w:rPr>
          <w:rFonts w:ascii="Times New Roman" w:hAnsi="Times New Roman" w:cs="Times New Roman"/>
          <w:i/>
          <w:iCs/>
          <w:sz w:val="16"/>
          <w:szCs w:val="16"/>
        </w:rPr>
        <w:t>Legal research methods: A practical guide</w:t>
      </w:r>
      <w:r w:rsidRPr="005D58B4">
        <w:rPr>
          <w:rFonts w:ascii="Times New Roman" w:hAnsi="Times New Roman" w:cs="Times New Roman"/>
          <w:sz w:val="16"/>
          <w:szCs w:val="16"/>
        </w:rPr>
        <w:t>. PT RajaGrafindo Persada. p. 45.</w:t>
      </w:r>
    </w:p>
  </w:footnote>
  <w:footnote w:id="10">
    <w:p w14:paraId="6673BF2A" w14:textId="4B160438"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Peter Mahmud Marzuki, </w:t>
      </w:r>
      <w:r w:rsidRPr="005D58B4">
        <w:rPr>
          <w:rFonts w:ascii="Times New Roman" w:hAnsi="Times New Roman" w:cs="Times New Roman"/>
          <w:i/>
          <w:iCs/>
          <w:sz w:val="16"/>
          <w:szCs w:val="16"/>
        </w:rPr>
        <w:t>Penelitian Hukum, Revisi</w:t>
      </w:r>
      <w:r w:rsidRPr="005D58B4">
        <w:rPr>
          <w:rFonts w:ascii="Times New Roman" w:hAnsi="Times New Roman" w:cs="Times New Roman"/>
          <w:sz w:val="16"/>
          <w:szCs w:val="16"/>
        </w:rPr>
        <w:t>.[Legal Research, Revised) (Prenada Media, 2017).</w:t>
      </w:r>
    </w:p>
  </w:footnote>
  <w:footnote w:id="11">
    <w:p w14:paraId="01799FEE" w14:textId="26ACB51B"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The relevant international standards are found in: </w:t>
      </w:r>
      <w:r w:rsidRPr="005D58B4">
        <w:rPr>
          <w:rFonts w:ascii="Times New Roman" w:hAnsi="Times New Roman" w:cs="Times New Roman"/>
          <w:i/>
          <w:iCs/>
          <w:sz w:val="16"/>
          <w:szCs w:val="16"/>
        </w:rPr>
        <w:t>United Nations Convention against Corruption</w:t>
      </w:r>
      <w:r w:rsidRPr="005D58B4">
        <w:rPr>
          <w:rFonts w:ascii="Times New Roman" w:hAnsi="Times New Roman" w:cs="Times New Roman"/>
          <w:sz w:val="16"/>
          <w:szCs w:val="16"/>
        </w:rPr>
        <w:t>, opened for signature 9 December 2003, 2349 UNTS 41 (entered into force 14 December 2005) art. 54(1)(c); and Financial Action Task Force. (2023). </w:t>
      </w:r>
      <w:r w:rsidRPr="005D58B4">
        <w:rPr>
          <w:rFonts w:ascii="Times New Roman" w:hAnsi="Times New Roman" w:cs="Times New Roman"/>
          <w:i/>
          <w:iCs/>
          <w:sz w:val="16"/>
          <w:szCs w:val="16"/>
        </w:rPr>
        <w:t>International Standards on Combating Money Laundering and the Financing of Terrorism &amp; Proliferation: The FATF Recommendations</w:t>
      </w:r>
      <w:r w:rsidRPr="005D58B4">
        <w:rPr>
          <w:rFonts w:ascii="Times New Roman" w:hAnsi="Times New Roman" w:cs="Times New Roman"/>
          <w:sz w:val="16"/>
          <w:szCs w:val="16"/>
        </w:rPr>
        <w:t>. FATF, Recommendation 4</w:t>
      </w:r>
    </w:p>
  </w:footnote>
  <w:footnote w:id="12">
    <w:p w14:paraId="31F90FA1" w14:textId="4AACA1B4"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The core legislative acts analyzed include the U.S. </w:t>
      </w:r>
      <w:r w:rsidRPr="005D58B4">
        <w:rPr>
          <w:rFonts w:ascii="Times New Roman" w:hAnsi="Times New Roman" w:cs="Times New Roman"/>
          <w:i/>
          <w:iCs/>
          <w:sz w:val="16"/>
          <w:szCs w:val="16"/>
        </w:rPr>
        <w:t>Civil Asset Forfeiture Reform Act (CAFRA) of 2000</w:t>
      </w:r>
      <w:r w:rsidRPr="005D58B4">
        <w:rPr>
          <w:rFonts w:ascii="Times New Roman" w:hAnsi="Times New Roman" w:cs="Times New Roman"/>
          <w:sz w:val="16"/>
          <w:szCs w:val="16"/>
        </w:rPr>
        <w:t>, 18 U.S.C. § 981; the U.K. </w:t>
      </w:r>
      <w:r w:rsidRPr="005D58B4">
        <w:rPr>
          <w:rFonts w:ascii="Times New Roman" w:hAnsi="Times New Roman" w:cs="Times New Roman"/>
          <w:i/>
          <w:iCs/>
          <w:sz w:val="16"/>
          <w:szCs w:val="16"/>
        </w:rPr>
        <w:t>Proceeds of Crime Act 2002</w:t>
      </w:r>
      <w:r w:rsidRPr="005D58B4">
        <w:rPr>
          <w:rFonts w:ascii="Times New Roman" w:hAnsi="Times New Roman" w:cs="Times New Roman"/>
          <w:sz w:val="16"/>
          <w:szCs w:val="16"/>
        </w:rPr>
        <w:t>, c. 29, Part 5; Australia's </w:t>
      </w:r>
      <w:r w:rsidRPr="005D58B4">
        <w:rPr>
          <w:rFonts w:ascii="Times New Roman" w:hAnsi="Times New Roman" w:cs="Times New Roman"/>
          <w:i/>
          <w:iCs/>
          <w:sz w:val="16"/>
          <w:szCs w:val="16"/>
        </w:rPr>
        <w:t>Proceeds of Crime Act 2002</w:t>
      </w:r>
      <w:r w:rsidRPr="005D58B4">
        <w:rPr>
          <w:rFonts w:ascii="Times New Roman" w:hAnsi="Times New Roman" w:cs="Times New Roman"/>
          <w:sz w:val="16"/>
          <w:szCs w:val="16"/>
        </w:rPr>
        <w:t> (Cth), Chapter 2; and the Philippines' </w:t>
      </w:r>
      <w:r w:rsidRPr="005D58B4">
        <w:rPr>
          <w:rFonts w:ascii="Times New Roman" w:hAnsi="Times New Roman" w:cs="Times New Roman"/>
          <w:i/>
          <w:iCs/>
          <w:sz w:val="16"/>
          <w:szCs w:val="16"/>
        </w:rPr>
        <w:t>Republic Act No. 1379</w:t>
      </w:r>
      <w:r w:rsidRPr="005D58B4">
        <w:rPr>
          <w:rFonts w:ascii="Times New Roman" w:hAnsi="Times New Roman" w:cs="Times New Roman"/>
          <w:sz w:val="16"/>
          <w:szCs w:val="16"/>
        </w:rPr>
        <w:t> (1955) and </w:t>
      </w:r>
      <w:r w:rsidRPr="005D58B4">
        <w:rPr>
          <w:rFonts w:ascii="Times New Roman" w:hAnsi="Times New Roman" w:cs="Times New Roman"/>
          <w:i/>
          <w:iCs/>
          <w:sz w:val="16"/>
          <w:szCs w:val="16"/>
        </w:rPr>
        <w:t>Republic Act No. 9160</w:t>
      </w:r>
      <w:r w:rsidRPr="005D58B4">
        <w:rPr>
          <w:rFonts w:ascii="Times New Roman" w:hAnsi="Times New Roman" w:cs="Times New Roman"/>
          <w:sz w:val="16"/>
          <w:szCs w:val="16"/>
        </w:rPr>
        <w:t>, as amended by </w:t>
      </w:r>
      <w:r w:rsidRPr="005D58B4">
        <w:rPr>
          <w:rFonts w:ascii="Times New Roman" w:hAnsi="Times New Roman" w:cs="Times New Roman"/>
          <w:i/>
          <w:iCs/>
          <w:sz w:val="16"/>
          <w:szCs w:val="16"/>
        </w:rPr>
        <w:t>Republic Act No. 11521</w:t>
      </w:r>
      <w:r w:rsidRPr="005D58B4">
        <w:rPr>
          <w:rFonts w:ascii="Times New Roman" w:hAnsi="Times New Roman" w:cs="Times New Roman"/>
          <w:sz w:val="16"/>
          <w:szCs w:val="16"/>
        </w:rPr>
        <w:t> (2021)</w:t>
      </w:r>
    </w:p>
  </w:footnote>
  <w:footnote w:id="13">
    <w:p w14:paraId="3AD966BC" w14:textId="5BC44883"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The discussion on balancing effectiveness with constitutional rights is informed by: Butt, S., &amp; Parsons, N. (2014). Judicial review and the protection of economic rights in Indonesia. </w:t>
      </w:r>
      <w:r w:rsidRPr="005D58B4">
        <w:rPr>
          <w:rFonts w:ascii="Times New Roman" w:hAnsi="Times New Roman" w:cs="Times New Roman"/>
          <w:i/>
          <w:iCs/>
          <w:sz w:val="16"/>
          <w:szCs w:val="16"/>
        </w:rPr>
        <w:t>Asian Journal of Comparative Law, 9</w:t>
      </w:r>
      <w:r w:rsidRPr="005D58B4">
        <w:rPr>
          <w:rFonts w:ascii="Times New Roman" w:hAnsi="Times New Roman" w:cs="Times New Roman"/>
          <w:sz w:val="16"/>
          <w:szCs w:val="16"/>
        </w:rPr>
        <w:t>(1), 1-24. </w:t>
      </w:r>
      <w:hyperlink r:id="rId3" w:tgtFrame="_blank" w:history="1">
        <w:r w:rsidRPr="005D58B4">
          <w:rPr>
            <w:rStyle w:val="Hyperlink"/>
            <w:rFonts w:ascii="Times New Roman" w:hAnsi="Times New Roman" w:cs="Times New Roman"/>
            <w:color w:val="auto"/>
            <w:sz w:val="16"/>
            <w:szCs w:val="16"/>
            <w:u w:val="none"/>
          </w:rPr>
          <w:t>https://doi.org/10.1017/S2194607800000416</w:t>
        </w:r>
      </w:hyperlink>
      <w:r w:rsidRPr="005D58B4">
        <w:rPr>
          <w:rFonts w:ascii="Times New Roman" w:hAnsi="Times New Roman" w:cs="Times New Roman"/>
          <w:sz w:val="16"/>
          <w:szCs w:val="16"/>
        </w:rPr>
        <w:t>. p. 15.</w:t>
      </w:r>
    </w:p>
  </w:footnote>
  <w:footnote w:id="14">
    <w:p w14:paraId="41471812" w14:textId="141EA66E"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Matthew L. Fore, “Foreign Crime, American Justice: Using Civil Forfeiture to Seize Criminal Proceeds from Beyond the Border,” </w:t>
      </w:r>
      <w:r w:rsidRPr="005D58B4">
        <w:rPr>
          <w:rFonts w:ascii="Times New Roman" w:hAnsi="Times New Roman" w:cs="Times New Roman"/>
          <w:i/>
          <w:iCs/>
          <w:sz w:val="16"/>
          <w:szCs w:val="16"/>
        </w:rPr>
        <w:t>Vanderbilt Journal of Transnational Law</w:t>
      </w:r>
      <w:r w:rsidRPr="005D58B4">
        <w:rPr>
          <w:rFonts w:ascii="Times New Roman" w:hAnsi="Times New Roman" w:cs="Times New Roman"/>
          <w:sz w:val="16"/>
          <w:szCs w:val="16"/>
        </w:rPr>
        <w:t>, Vol. 45, No. 2 (2012), hlm. 362–364</w:t>
      </w:r>
    </w:p>
  </w:footnote>
  <w:footnote w:id="15">
    <w:p w14:paraId="5F733D8F" w14:textId="76E37F75"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USA PATRIOT Act of 2001, Pub. L. No. 107-56, 115 Stat. 272, § 981(a)(1)(B) dan § 1956(c)(7)(B), yang mengubah ketentuan dalam Title 18 of the United States Code</w:t>
      </w:r>
    </w:p>
  </w:footnote>
  <w:footnote w:id="16">
    <w:p w14:paraId="630D7AAD" w14:textId="109D9FDF"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Matthew L. Fore, </w:t>
      </w:r>
      <w:r w:rsidRPr="005D58B4">
        <w:rPr>
          <w:rFonts w:ascii="Times New Roman" w:hAnsi="Times New Roman" w:cs="Times New Roman"/>
          <w:i/>
          <w:iCs/>
          <w:sz w:val="16"/>
          <w:szCs w:val="16"/>
        </w:rPr>
        <w:t>Loc. Cit.,</w:t>
      </w:r>
      <w:r w:rsidRPr="005D58B4">
        <w:rPr>
          <w:rFonts w:ascii="Times New Roman" w:hAnsi="Times New Roman" w:cs="Times New Roman"/>
          <w:sz w:val="16"/>
          <w:szCs w:val="16"/>
        </w:rPr>
        <w:t xml:space="preserve">365-367 lihat juga, </w:t>
      </w:r>
      <w:r w:rsidRPr="005D58B4">
        <w:rPr>
          <w:rFonts w:ascii="Times New Roman" w:hAnsi="Times New Roman" w:cs="Times New Roman"/>
          <w:i/>
          <w:iCs/>
          <w:sz w:val="16"/>
          <w:szCs w:val="16"/>
        </w:rPr>
        <w:t>Selected Federal Asset Forfeiture Statutes</w:t>
      </w:r>
      <w:r w:rsidRPr="005D58B4">
        <w:rPr>
          <w:rFonts w:ascii="Times New Roman" w:hAnsi="Times New Roman" w:cs="Times New Roman"/>
          <w:sz w:val="16"/>
          <w:szCs w:val="16"/>
        </w:rPr>
        <w:t xml:space="preserve">, (U.S. Department of Justice, Criminal Division, </w:t>
      </w:r>
      <w:r w:rsidRPr="005D58B4">
        <w:rPr>
          <w:rFonts w:ascii="Times New Roman" w:hAnsi="Times New Roman" w:cs="Times New Roman"/>
          <w:i/>
          <w:iCs/>
          <w:sz w:val="16"/>
          <w:szCs w:val="16"/>
        </w:rPr>
        <w:t xml:space="preserve">Asset Forfeiture and Money Laundering </w:t>
      </w:r>
      <w:r w:rsidRPr="005D58B4">
        <w:rPr>
          <w:rFonts w:ascii="Times New Roman" w:hAnsi="Times New Roman" w:cs="Times New Roman"/>
          <w:sz w:val="16"/>
          <w:szCs w:val="16"/>
        </w:rPr>
        <w:t>Section, 2006), hlm. 29-90.)</w:t>
      </w:r>
    </w:p>
  </w:footnote>
  <w:footnote w:id="17">
    <w:p w14:paraId="172835FD" w14:textId="0A0AE4F0"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Regarding cases related to violations of the provisions in CAFRA can be seen at </w:t>
      </w:r>
      <w:r w:rsidRPr="005D58B4">
        <w:rPr>
          <w:rFonts w:ascii="Times New Roman" w:hAnsi="Times New Roman" w:cs="Times New Roman"/>
          <w:i/>
          <w:iCs/>
          <w:sz w:val="16"/>
          <w:szCs w:val="16"/>
        </w:rPr>
        <w:t>Civil and Criminal Forfeiture Procedure, Compilation of Recent Federal Cases</w:t>
      </w:r>
      <w:r w:rsidRPr="005D58B4">
        <w:rPr>
          <w:rFonts w:ascii="Times New Roman" w:hAnsi="Times New Roman" w:cs="Times New Roman"/>
          <w:sz w:val="16"/>
          <w:szCs w:val="16"/>
        </w:rPr>
        <w:t>, U.S. Department of Justice, Criminal Division, Asset Forfeiture and Money Laundering Section, April 2009, hlm. 133</w:t>
      </w:r>
    </w:p>
  </w:footnote>
  <w:footnote w:id="18">
    <w:p w14:paraId="7CABD70A" w14:textId="5EFD8422"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Stefan D. Cassella, ―</w:t>
      </w:r>
      <w:r w:rsidRPr="005D58B4">
        <w:rPr>
          <w:rFonts w:ascii="Times New Roman" w:hAnsi="Times New Roman" w:cs="Times New Roman"/>
          <w:i/>
          <w:iCs/>
          <w:sz w:val="16"/>
          <w:szCs w:val="16"/>
        </w:rPr>
        <w:t>Recovering the Proceeds of Crime From the Correspondent Account of a Foreign Bank</w:t>
      </w:r>
      <w:r w:rsidRPr="005D58B4">
        <w:rPr>
          <w:rFonts w:ascii="Times New Roman" w:hAnsi="Times New Roman" w:cs="Times New Roman"/>
          <w:sz w:val="16"/>
          <w:szCs w:val="16"/>
        </w:rPr>
        <w:t>”, 9 (4)  (Journal of Money Laundering Control, 2006), hlm. 402</w:t>
      </w:r>
    </w:p>
  </w:footnote>
  <w:footnote w:id="19">
    <w:p w14:paraId="67659A4F" w14:textId="5DC4248E"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Pieth, Mark &amp; Aiolfi, Gemma. “</w:t>
      </w:r>
      <w:r w:rsidRPr="005D58B4">
        <w:rPr>
          <w:rFonts w:ascii="Times New Roman" w:hAnsi="Times New Roman" w:cs="Times New Roman"/>
          <w:i/>
          <w:iCs/>
          <w:sz w:val="16"/>
          <w:szCs w:val="16"/>
        </w:rPr>
        <w:t>The Recovery of Stolen Assets: The Problem of Jurisdiction,”</w:t>
      </w:r>
      <w:r w:rsidRPr="005D58B4">
        <w:rPr>
          <w:rFonts w:ascii="Times New Roman" w:hAnsi="Times New Roman" w:cs="Times New Roman"/>
          <w:sz w:val="16"/>
          <w:szCs w:val="16"/>
        </w:rPr>
        <w:t xml:space="preserve"> in </w:t>
      </w:r>
      <w:r w:rsidRPr="005D58B4">
        <w:rPr>
          <w:rFonts w:ascii="Times New Roman" w:hAnsi="Times New Roman" w:cs="Times New Roman"/>
          <w:i/>
          <w:iCs/>
          <w:sz w:val="16"/>
          <w:szCs w:val="16"/>
        </w:rPr>
        <w:t>Recovering Stolen Assets</w:t>
      </w:r>
      <w:r w:rsidRPr="005D58B4">
        <w:rPr>
          <w:rFonts w:ascii="Times New Roman" w:hAnsi="Times New Roman" w:cs="Times New Roman"/>
          <w:sz w:val="16"/>
          <w:szCs w:val="16"/>
        </w:rPr>
        <w:t xml:space="preserve">, (Peter Lang AG, 2008), pp. 123–138. Lihat juga, U.S. Department of Justice, </w:t>
      </w:r>
      <w:r w:rsidRPr="005D58B4">
        <w:rPr>
          <w:rFonts w:ascii="Times New Roman" w:hAnsi="Times New Roman" w:cs="Times New Roman"/>
          <w:i/>
          <w:iCs/>
          <w:sz w:val="16"/>
          <w:szCs w:val="16"/>
        </w:rPr>
        <w:t>Asset Forfeiture Policy Manual</w:t>
      </w:r>
      <w:r w:rsidRPr="005D58B4">
        <w:rPr>
          <w:rFonts w:ascii="Times New Roman" w:hAnsi="Times New Roman" w:cs="Times New Roman"/>
          <w:sz w:val="16"/>
          <w:szCs w:val="16"/>
        </w:rPr>
        <w:t>, Criminal Division (2013), hlm. 97–100.</w:t>
      </w:r>
    </w:p>
  </w:footnote>
  <w:footnote w:id="20">
    <w:p w14:paraId="3FDDB652" w14:textId="48BB521F"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Tood Barnet, ―Legal Fiction and Forfeiture: </w:t>
      </w:r>
      <w:r w:rsidRPr="005D58B4">
        <w:rPr>
          <w:rFonts w:ascii="Times New Roman" w:hAnsi="Times New Roman" w:cs="Times New Roman"/>
          <w:i/>
          <w:iCs/>
          <w:sz w:val="16"/>
          <w:szCs w:val="16"/>
        </w:rPr>
        <w:t>A Historical Analysis of the Civil Asset Forfeiture Reform Act‖</w:t>
      </w:r>
      <w:r w:rsidRPr="005D58B4">
        <w:rPr>
          <w:rFonts w:ascii="Times New Roman" w:hAnsi="Times New Roman" w:cs="Times New Roman"/>
          <w:sz w:val="16"/>
          <w:szCs w:val="16"/>
        </w:rPr>
        <w:t>, 40 Duquesne Law Review Fall 2001,p.87.</w:t>
      </w:r>
    </w:p>
  </w:footnote>
  <w:footnote w:id="21">
    <w:p w14:paraId="37A837AA" w14:textId="554A56BD" w:rsidR="004138BC" w:rsidRPr="005D58B4" w:rsidRDefault="004138BC" w:rsidP="00C4579E">
      <w:pPr>
        <w:pStyle w:val="FootnoteText"/>
        <w:ind w:left="426" w:hanging="426"/>
        <w:jc w:val="both"/>
        <w:rPr>
          <w:rFonts w:ascii="Times New Roman" w:hAnsi="Times New Roman" w:cs="Times New Roman"/>
          <w:i/>
          <w:iCs/>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i/>
          <w:iCs/>
          <w:sz w:val="16"/>
          <w:szCs w:val="16"/>
        </w:rPr>
        <w:t>Ibid.,</w:t>
      </w:r>
    </w:p>
  </w:footnote>
  <w:footnote w:id="22">
    <w:p w14:paraId="4B6C405C" w14:textId="1FEE6495"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U.S. Department of Justice, </w:t>
      </w:r>
      <w:r w:rsidRPr="005D58B4">
        <w:rPr>
          <w:rFonts w:ascii="Times New Roman" w:hAnsi="Times New Roman" w:cs="Times New Roman"/>
          <w:i/>
          <w:iCs/>
          <w:sz w:val="16"/>
          <w:szCs w:val="16"/>
        </w:rPr>
        <w:t>Asset Forfeiture Program Participants and Roles</w:t>
      </w:r>
      <w:r w:rsidRPr="005D58B4">
        <w:rPr>
          <w:rFonts w:ascii="Times New Roman" w:hAnsi="Times New Roman" w:cs="Times New Roman"/>
          <w:sz w:val="16"/>
          <w:szCs w:val="16"/>
        </w:rPr>
        <w:t>, dapat dilihat di: https://www.justice.gov/afp/asset-forfeiture-program-participants-and-roles.</w:t>
      </w:r>
    </w:p>
  </w:footnote>
  <w:footnote w:id="23">
    <w:p w14:paraId="12EDEDD4" w14:textId="17956C64"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Ibid. </w:t>
      </w:r>
      <w:r w:rsidRPr="005D58B4">
        <w:rPr>
          <w:rFonts w:ascii="Times New Roman" w:hAnsi="Times New Roman" w:cs="Times New Roman"/>
          <w:i/>
          <w:iCs/>
          <w:sz w:val="16"/>
          <w:szCs w:val="16"/>
          <w:lang w:val="en"/>
        </w:rPr>
        <w:t>The ATF plays a role in the forfeiture of assets related to firearms, alcohol, tobacco, and explosives violations</w:t>
      </w:r>
    </w:p>
  </w:footnote>
  <w:footnote w:id="24">
    <w:p w14:paraId="4CC9A0C7" w14:textId="5A6BFE03"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Drug Enforcement Administration (DEA), </w:t>
      </w:r>
      <w:r w:rsidRPr="005D58B4">
        <w:rPr>
          <w:rFonts w:ascii="Times New Roman" w:hAnsi="Times New Roman" w:cs="Times New Roman"/>
          <w:i/>
          <w:iCs/>
          <w:sz w:val="16"/>
          <w:szCs w:val="16"/>
        </w:rPr>
        <w:t>Drug Enforcement Administration Resource Guide 2020</w:t>
      </w:r>
      <w:r w:rsidRPr="005D58B4">
        <w:rPr>
          <w:rFonts w:ascii="Times New Roman" w:hAnsi="Times New Roman" w:cs="Times New Roman"/>
          <w:sz w:val="16"/>
          <w:szCs w:val="16"/>
        </w:rPr>
        <w:t xml:space="preserve">, U.S. Department of Justice, Page; 25–26, </w:t>
      </w:r>
    </w:p>
  </w:footnote>
  <w:footnote w:id="25">
    <w:p w14:paraId="6E29C60F" w14:textId="0994395B"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Federal Bureau of Investigation (FBI), </w:t>
      </w:r>
      <w:r w:rsidRPr="005D58B4">
        <w:rPr>
          <w:rFonts w:ascii="Times New Roman" w:hAnsi="Times New Roman" w:cs="Times New Roman"/>
          <w:i/>
          <w:iCs/>
          <w:sz w:val="16"/>
          <w:szCs w:val="16"/>
        </w:rPr>
        <w:t>What We Investigate: Criminal Activities</w:t>
      </w:r>
      <w:r w:rsidRPr="005D58B4">
        <w:rPr>
          <w:rFonts w:ascii="Times New Roman" w:hAnsi="Times New Roman" w:cs="Times New Roman"/>
          <w:sz w:val="16"/>
          <w:szCs w:val="16"/>
        </w:rPr>
        <w:t>, https://www.fbi.gov/investigate/white-collar-crime, diakses 15 Juli 2025.</w:t>
      </w:r>
    </w:p>
  </w:footnote>
  <w:footnote w:id="26">
    <w:p w14:paraId="53A0307F" w14:textId="23304B0D"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Executive Office for U.S. Attorneys, </w:t>
      </w:r>
      <w:r w:rsidRPr="005D58B4">
        <w:rPr>
          <w:rFonts w:ascii="Times New Roman" w:hAnsi="Times New Roman" w:cs="Times New Roman"/>
          <w:i/>
          <w:iCs/>
          <w:sz w:val="16"/>
          <w:szCs w:val="16"/>
        </w:rPr>
        <w:t>Asset Forfeiture Policy Manual 2021</w:t>
      </w:r>
      <w:r w:rsidRPr="005D58B4">
        <w:rPr>
          <w:rFonts w:ascii="Times New Roman" w:hAnsi="Times New Roman" w:cs="Times New Roman"/>
          <w:sz w:val="16"/>
          <w:szCs w:val="16"/>
        </w:rPr>
        <w:t>, hlm. 12–13, dapat dilihat di: https://www.justice.gov/criminal-afmls/file/839521/download, diakses 15 Juli 2025.</w:t>
      </w:r>
    </w:p>
  </w:footnote>
  <w:footnote w:id="27">
    <w:p w14:paraId="43716C80" w14:textId="59BC228B"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Marshals Service, </w:t>
      </w:r>
      <w:r w:rsidRPr="005D58B4">
        <w:rPr>
          <w:rFonts w:ascii="Times New Roman" w:hAnsi="Times New Roman" w:cs="Times New Roman"/>
          <w:i/>
          <w:iCs/>
          <w:sz w:val="16"/>
          <w:szCs w:val="16"/>
        </w:rPr>
        <w:t>Asset Forfeiture</w:t>
      </w:r>
      <w:r w:rsidRPr="005D58B4">
        <w:rPr>
          <w:rFonts w:ascii="Times New Roman" w:hAnsi="Times New Roman" w:cs="Times New Roman"/>
          <w:sz w:val="16"/>
          <w:szCs w:val="16"/>
        </w:rPr>
        <w:t>, dapat dilihat di: https://www.usmarshals.gov/programs/asset-forfeiture, diakses 15 Juli 2025.</w:t>
      </w:r>
    </w:p>
  </w:footnote>
  <w:footnote w:id="28">
    <w:p w14:paraId="715C47B5" w14:textId="2EACD4E6"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Department of Justice, Criminal Division – MLARS, </w:t>
      </w:r>
      <w:r w:rsidRPr="005D58B4">
        <w:rPr>
          <w:rFonts w:ascii="Times New Roman" w:hAnsi="Times New Roman" w:cs="Times New Roman"/>
          <w:i/>
          <w:iCs/>
          <w:sz w:val="16"/>
          <w:szCs w:val="16"/>
        </w:rPr>
        <w:t>Overview of the Money Laundering and Asset Recovery Section</w:t>
      </w:r>
      <w:r w:rsidRPr="005D58B4">
        <w:rPr>
          <w:rFonts w:ascii="Times New Roman" w:hAnsi="Times New Roman" w:cs="Times New Roman"/>
          <w:sz w:val="16"/>
          <w:szCs w:val="16"/>
        </w:rPr>
        <w:t>, dapat dilihat di: https://www.justice.gov/criminal-mlars, diakses 15 Juli 2025.</w:t>
      </w:r>
    </w:p>
  </w:footnote>
  <w:footnote w:id="29">
    <w:p w14:paraId="7C37E974" w14:textId="67AC01D9"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Department of Justice, </w:t>
      </w:r>
      <w:r w:rsidRPr="005D58B4">
        <w:rPr>
          <w:rFonts w:ascii="Times New Roman" w:hAnsi="Times New Roman" w:cs="Times New Roman"/>
          <w:i/>
          <w:iCs/>
          <w:sz w:val="16"/>
          <w:szCs w:val="16"/>
        </w:rPr>
        <w:t>Organized Crime Drug Enforcement Task Forces (OCDETF) Overview</w:t>
      </w:r>
      <w:r w:rsidRPr="005D58B4">
        <w:rPr>
          <w:rFonts w:ascii="Times New Roman" w:hAnsi="Times New Roman" w:cs="Times New Roman"/>
          <w:sz w:val="16"/>
          <w:szCs w:val="16"/>
        </w:rPr>
        <w:t>, dapat dilihat di: https://www.justice.gov/ocdetf/about, diakses 15 Juli 2025.</w:t>
      </w:r>
    </w:p>
  </w:footnote>
  <w:footnote w:id="30">
    <w:p w14:paraId="08040D57" w14:textId="5DC908D2"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Department of Agriculture, Office of Inspector General (USDA-OIG), </w:t>
      </w:r>
      <w:r w:rsidRPr="005D58B4">
        <w:rPr>
          <w:rFonts w:ascii="Times New Roman" w:hAnsi="Times New Roman" w:cs="Times New Roman"/>
          <w:i/>
          <w:iCs/>
          <w:sz w:val="16"/>
          <w:szCs w:val="16"/>
        </w:rPr>
        <w:t>Semiannual Report to Congress</w:t>
      </w:r>
      <w:r w:rsidRPr="005D58B4">
        <w:rPr>
          <w:rFonts w:ascii="Times New Roman" w:hAnsi="Times New Roman" w:cs="Times New Roman"/>
          <w:sz w:val="16"/>
          <w:szCs w:val="16"/>
        </w:rPr>
        <w:t>, Maret 2024, dapat dilihat di: https://www.usda.gov/oig, diakses 15 Juli 2025.</w:t>
      </w:r>
    </w:p>
  </w:footnote>
  <w:footnote w:id="31">
    <w:p w14:paraId="1E80825F" w14:textId="4205E67E"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Department of State, Bureau of Diplomatic Security (DSS), </w:t>
      </w:r>
      <w:r w:rsidRPr="005D58B4">
        <w:rPr>
          <w:rFonts w:ascii="Times New Roman" w:hAnsi="Times New Roman" w:cs="Times New Roman"/>
          <w:i/>
          <w:iCs/>
          <w:sz w:val="16"/>
          <w:szCs w:val="16"/>
        </w:rPr>
        <w:t>Mission and Operations</w:t>
      </w:r>
      <w:r w:rsidRPr="005D58B4">
        <w:rPr>
          <w:rFonts w:ascii="Times New Roman" w:hAnsi="Times New Roman" w:cs="Times New Roman"/>
          <w:sz w:val="16"/>
          <w:szCs w:val="16"/>
        </w:rPr>
        <w:t>, dapat dilihat di: https://www.state.gov/bureaus-offices/under-secretary-for-management/bureau-of-diplomatic-security/, diakses 15 Juli 2025.</w:t>
      </w:r>
    </w:p>
  </w:footnote>
  <w:footnote w:id="32">
    <w:p w14:paraId="47A59A6E" w14:textId="74BD9626"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U.S. Food and Drug Administration, Office of Criminal Investigations (FDA-OCI), </w:t>
      </w:r>
      <w:r w:rsidRPr="005D58B4">
        <w:rPr>
          <w:rFonts w:ascii="Times New Roman" w:hAnsi="Times New Roman" w:cs="Times New Roman"/>
          <w:i/>
          <w:iCs/>
          <w:sz w:val="16"/>
          <w:szCs w:val="16"/>
        </w:rPr>
        <w:t>Criminal Investigations and Enforcement Activities</w:t>
      </w:r>
      <w:r w:rsidRPr="005D58B4">
        <w:rPr>
          <w:rFonts w:ascii="Times New Roman" w:hAnsi="Times New Roman" w:cs="Times New Roman"/>
          <w:sz w:val="16"/>
          <w:szCs w:val="16"/>
        </w:rPr>
        <w:t>, dapat dilihat di: https://www.fda.gov/inspections-compliance-enforcement-criminal-investigations/criminal-investigations, diakses 15 Juli 2025.</w:t>
      </w:r>
    </w:p>
  </w:footnote>
  <w:footnote w:id="33">
    <w:p w14:paraId="37225344" w14:textId="283614E2"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U.S. Department of Defense, Office of Inspector General – DCIS, </w:t>
      </w:r>
      <w:r w:rsidRPr="005D58B4">
        <w:rPr>
          <w:rFonts w:ascii="Times New Roman" w:hAnsi="Times New Roman" w:cs="Times New Roman"/>
          <w:i/>
          <w:iCs/>
          <w:sz w:val="16"/>
          <w:szCs w:val="16"/>
        </w:rPr>
        <w:t>Defense Criminal Investigative Service Overview</w:t>
      </w:r>
      <w:r w:rsidRPr="005D58B4">
        <w:rPr>
          <w:rFonts w:ascii="Times New Roman" w:hAnsi="Times New Roman" w:cs="Times New Roman"/>
          <w:sz w:val="16"/>
          <w:szCs w:val="16"/>
        </w:rPr>
        <w:t>, dapat dilihat di: https://www.dodig.mil/Components/DCIS/, diakses 15 Juli 2025.</w:t>
      </w:r>
    </w:p>
  </w:footnote>
  <w:footnote w:id="34">
    <w:p w14:paraId="69C98F1A" w14:textId="43D97CC4"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U.S. Postal Inspection Service, </w:t>
      </w:r>
      <w:r w:rsidRPr="005D58B4">
        <w:rPr>
          <w:rFonts w:ascii="Times New Roman" w:hAnsi="Times New Roman" w:cs="Times New Roman"/>
          <w:i/>
          <w:iCs/>
          <w:sz w:val="16"/>
          <w:szCs w:val="16"/>
        </w:rPr>
        <w:t>What We Do</w:t>
      </w:r>
      <w:r w:rsidRPr="005D58B4">
        <w:rPr>
          <w:rFonts w:ascii="Times New Roman" w:hAnsi="Times New Roman" w:cs="Times New Roman"/>
          <w:sz w:val="16"/>
          <w:szCs w:val="16"/>
        </w:rPr>
        <w:t>, dapat dilihat di: https://www.uspis.gov/about/who-we-are, diakses 15 Juli 2025.</w:t>
      </w:r>
    </w:p>
  </w:footnote>
  <w:footnote w:id="35">
    <w:p w14:paraId="7483B9A0" w14:textId="55C0DBE5"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Tood Barnet, “Legal Fiction and Forfeiture: A Historical Analysis of the Civil Asset</w:t>
      </w:r>
      <w:r w:rsidRPr="005D58B4">
        <w:rPr>
          <w:rFonts w:ascii="Times New Roman" w:hAnsi="Times New Roman" w:cs="Times New Roman"/>
          <w:spacing w:val="1"/>
          <w:sz w:val="16"/>
          <w:szCs w:val="16"/>
        </w:rPr>
        <w:t xml:space="preserve"> </w:t>
      </w:r>
      <w:r w:rsidRPr="005D58B4">
        <w:rPr>
          <w:rFonts w:ascii="Times New Roman" w:hAnsi="Times New Roman" w:cs="Times New Roman"/>
          <w:sz w:val="16"/>
          <w:szCs w:val="16"/>
        </w:rPr>
        <w:t>Forfeiture Reform Act”, 40 Duquesne Review, Fall, 2001,</w:t>
      </w:r>
      <w:r w:rsidRPr="005D58B4">
        <w:rPr>
          <w:rFonts w:ascii="Times New Roman" w:hAnsi="Times New Roman" w:cs="Times New Roman"/>
          <w:spacing w:val="1"/>
          <w:sz w:val="16"/>
          <w:szCs w:val="16"/>
        </w:rPr>
        <w:t xml:space="preserve"> </w:t>
      </w:r>
      <w:r w:rsidRPr="005D58B4">
        <w:rPr>
          <w:rFonts w:ascii="Times New Roman" w:hAnsi="Times New Roman" w:cs="Times New Roman"/>
          <w:sz w:val="16"/>
          <w:szCs w:val="16"/>
        </w:rPr>
        <w:t>h. 89-90, dikutip dari Muhammad</w:t>
      </w:r>
      <w:r w:rsidRPr="005D58B4">
        <w:rPr>
          <w:rFonts w:ascii="Times New Roman" w:hAnsi="Times New Roman" w:cs="Times New Roman"/>
          <w:spacing w:val="1"/>
          <w:sz w:val="16"/>
          <w:szCs w:val="16"/>
        </w:rPr>
        <w:t xml:space="preserve"> </w:t>
      </w:r>
      <w:r w:rsidRPr="005D58B4">
        <w:rPr>
          <w:rFonts w:ascii="Times New Roman" w:hAnsi="Times New Roman" w:cs="Times New Roman"/>
          <w:sz w:val="16"/>
          <w:szCs w:val="16"/>
        </w:rPr>
        <w:t>Yusuf, Op.Cit., h.107-108)</w:t>
      </w:r>
    </w:p>
  </w:footnote>
  <w:footnote w:id="36">
    <w:p w14:paraId="3446F67A" w14:textId="16FE12F6"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lang w:val="en"/>
        </w:rPr>
        <w:t>Bima Priya Santosa et al., Criminal Asset Management Institute, Paramadia Public Policy Institute, Jakarta, 2010, pp. 58-59</w:t>
      </w:r>
    </w:p>
  </w:footnote>
  <w:footnote w:id="37">
    <w:p w14:paraId="216A72F9" w14:textId="2C2A1A18"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Ibid, p.59-60</w:t>
      </w:r>
    </w:p>
  </w:footnote>
  <w:footnote w:id="38">
    <w:p w14:paraId="4E3FA54F" w14:textId="16691CD8"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lang w:val="en"/>
        </w:rPr>
        <w:t>Section 48(2) POCA gives the Crown Court the power to appoint a management receiver in respect of property subject to a POCA blocking order</w:t>
      </w:r>
    </w:p>
  </w:footnote>
  <w:footnote w:id="39">
    <w:p w14:paraId="7AB5A0B6" w14:textId="091CF591"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U.S. Department of Justice, </w:t>
      </w:r>
      <w:r w:rsidRPr="005D58B4">
        <w:rPr>
          <w:rFonts w:ascii="Times New Roman" w:hAnsi="Times New Roman" w:cs="Times New Roman"/>
          <w:i/>
          <w:iCs/>
          <w:sz w:val="16"/>
          <w:szCs w:val="16"/>
        </w:rPr>
        <w:t>Asset Forfeiture Program Participants and Roles</w:t>
      </w:r>
      <w:r w:rsidRPr="005D58B4">
        <w:rPr>
          <w:rFonts w:ascii="Times New Roman" w:hAnsi="Times New Roman" w:cs="Times New Roman"/>
          <w:sz w:val="16"/>
          <w:szCs w:val="16"/>
        </w:rPr>
        <w:t>, dapat dilihat di: https://www.justice.gov/afp/asset-forfeiture-program-participants-and-roles.</w:t>
      </w:r>
    </w:p>
  </w:footnote>
  <w:footnote w:id="40">
    <w:p w14:paraId="24E35E3B" w14:textId="37055FCB"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Ibid. </w:t>
      </w:r>
      <w:r w:rsidRPr="005D58B4">
        <w:rPr>
          <w:rFonts w:ascii="Times New Roman" w:hAnsi="Times New Roman" w:cs="Times New Roman"/>
          <w:i/>
          <w:iCs/>
          <w:sz w:val="16"/>
          <w:szCs w:val="16"/>
          <w:lang w:val="en"/>
        </w:rPr>
        <w:t>The ATF plays a role in the forfeiture of assets related to firearms, alcohol, tobacco, and explosives violations</w:t>
      </w:r>
    </w:p>
  </w:footnote>
  <w:footnote w:id="41">
    <w:p w14:paraId="41A2B781" w14:textId="6438B75A"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Drug Enforcement Administration (DEA), </w:t>
      </w:r>
      <w:r w:rsidRPr="005D58B4">
        <w:rPr>
          <w:rFonts w:ascii="Times New Roman" w:hAnsi="Times New Roman" w:cs="Times New Roman"/>
          <w:i/>
          <w:iCs/>
          <w:sz w:val="16"/>
          <w:szCs w:val="16"/>
        </w:rPr>
        <w:t>Drug Enforcement Administration Resource Guide 2020</w:t>
      </w:r>
      <w:r w:rsidRPr="005D58B4">
        <w:rPr>
          <w:rFonts w:ascii="Times New Roman" w:hAnsi="Times New Roman" w:cs="Times New Roman"/>
          <w:sz w:val="16"/>
          <w:szCs w:val="16"/>
        </w:rPr>
        <w:t xml:space="preserve">, U.S. Department of Justice, Page; 25–26, </w:t>
      </w:r>
    </w:p>
  </w:footnote>
  <w:footnote w:id="42">
    <w:p w14:paraId="1A66A0F0" w14:textId="59845A91"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Federal Bureau of Investigation (FBI), </w:t>
      </w:r>
      <w:r w:rsidRPr="005D58B4">
        <w:rPr>
          <w:rFonts w:ascii="Times New Roman" w:hAnsi="Times New Roman" w:cs="Times New Roman"/>
          <w:i/>
          <w:iCs/>
          <w:sz w:val="16"/>
          <w:szCs w:val="16"/>
        </w:rPr>
        <w:t>What We Investigate: Criminal Activities</w:t>
      </w:r>
      <w:r w:rsidRPr="005D58B4">
        <w:rPr>
          <w:rFonts w:ascii="Times New Roman" w:hAnsi="Times New Roman" w:cs="Times New Roman"/>
          <w:sz w:val="16"/>
          <w:szCs w:val="16"/>
        </w:rPr>
        <w:t>, https://www.fbi.gov/investigate/white-collar-crime, diakses 15 Juli 2025.</w:t>
      </w:r>
    </w:p>
  </w:footnote>
  <w:footnote w:id="43">
    <w:p w14:paraId="6E38DF31" w14:textId="7527A5CB"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Executive Office for U.S. Attorneys, </w:t>
      </w:r>
      <w:r w:rsidRPr="005D58B4">
        <w:rPr>
          <w:rFonts w:ascii="Times New Roman" w:hAnsi="Times New Roman" w:cs="Times New Roman"/>
          <w:i/>
          <w:iCs/>
          <w:sz w:val="16"/>
          <w:szCs w:val="16"/>
        </w:rPr>
        <w:t>Asset Forfeiture Policy Manual 2021</w:t>
      </w:r>
      <w:r w:rsidRPr="005D58B4">
        <w:rPr>
          <w:rFonts w:ascii="Times New Roman" w:hAnsi="Times New Roman" w:cs="Times New Roman"/>
          <w:sz w:val="16"/>
          <w:szCs w:val="16"/>
        </w:rPr>
        <w:t>, hlm. 12–13, dapat dilihat di: https://www.justice.gov/criminal-afmls/file/839521/download, diakses 15 Juli 2025.</w:t>
      </w:r>
    </w:p>
  </w:footnote>
  <w:footnote w:id="44">
    <w:p w14:paraId="16D749FF" w14:textId="44A5CC3C"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Marshals Service, </w:t>
      </w:r>
      <w:r w:rsidRPr="005D58B4">
        <w:rPr>
          <w:rFonts w:ascii="Times New Roman" w:hAnsi="Times New Roman" w:cs="Times New Roman"/>
          <w:i/>
          <w:iCs/>
          <w:sz w:val="16"/>
          <w:szCs w:val="16"/>
        </w:rPr>
        <w:t>Asset Forfeiture</w:t>
      </w:r>
      <w:r w:rsidRPr="005D58B4">
        <w:rPr>
          <w:rFonts w:ascii="Times New Roman" w:hAnsi="Times New Roman" w:cs="Times New Roman"/>
          <w:sz w:val="16"/>
          <w:szCs w:val="16"/>
        </w:rPr>
        <w:t>, dapat dilihat di: https://www.usmarshals.gov/programs/asset-forfeiture, diakses 15 Juli 2025.</w:t>
      </w:r>
    </w:p>
  </w:footnote>
  <w:footnote w:id="45">
    <w:p w14:paraId="5C3E8464" w14:textId="33349577"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Department of Justice, Criminal Division – MLARS, </w:t>
      </w:r>
      <w:r w:rsidRPr="005D58B4">
        <w:rPr>
          <w:rFonts w:ascii="Times New Roman" w:hAnsi="Times New Roman" w:cs="Times New Roman"/>
          <w:i/>
          <w:iCs/>
          <w:sz w:val="16"/>
          <w:szCs w:val="16"/>
        </w:rPr>
        <w:t>Overview of the Money Laundering and Asset Recovery Section</w:t>
      </w:r>
      <w:r w:rsidRPr="005D58B4">
        <w:rPr>
          <w:rFonts w:ascii="Times New Roman" w:hAnsi="Times New Roman" w:cs="Times New Roman"/>
          <w:sz w:val="16"/>
          <w:szCs w:val="16"/>
        </w:rPr>
        <w:t>, dapat dilihat di: https://www.justice.gov/criminal-mlars, diakses 15 Juli 2025.</w:t>
      </w:r>
    </w:p>
  </w:footnote>
  <w:footnote w:id="46">
    <w:p w14:paraId="6569D87A" w14:textId="30B61F89"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Department of Justice, </w:t>
      </w:r>
      <w:r w:rsidRPr="005D58B4">
        <w:rPr>
          <w:rFonts w:ascii="Times New Roman" w:hAnsi="Times New Roman" w:cs="Times New Roman"/>
          <w:i/>
          <w:iCs/>
          <w:sz w:val="16"/>
          <w:szCs w:val="16"/>
        </w:rPr>
        <w:t>Organized Crime Drug Enforcement Task Forces (OCDETF) Overview</w:t>
      </w:r>
      <w:r w:rsidRPr="005D58B4">
        <w:rPr>
          <w:rFonts w:ascii="Times New Roman" w:hAnsi="Times New Roman" w:cs="Times New Roman"/>
          <w:sz w:val="16"/>
          <w:szCs w:val="16"/>
        </w:rPr>
        <w:t>, dapat dilihat di: https://www.justice.gov/ocdetf/about, diakses 15 Juli 2025.</w:t>
      </w:r>
    </w:p>
  </w:footnote>
  <w:footnote w:id="47">
    <w:p w14:paraId="28A2AC98" w14:textId="3F666806"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Department of Agriculture, Office of Inspector General (USDA-OIG), </w:t>
      </w:r>
      <w:r w:rsidRPr="005D58B4">
        <w:rPr>
          <w:rFonts w:ascii="Times New Roman" w:hAnsi="Times New Roman" w:cs="Times New Roman"/>
          <w:i/>
          <w:iCs/>
          <w:sz w:val="16"/>
          <w:szCs w:val="16"/>
        </w:rPr>
        <w:t>Semiannual Report to Congress</w:t>
      </w:r>
      <w:r w:rsidRPr="005D58B4">
        <w:rPr>
          <w:rFonts w:ascii="Times New Roman" w:hAnsi="Times New Roman" w:cs="Times New Roman"/>
          <w:sz w:val="16"/>
          <w:szCs w:val="16"/>
        </w:rPr>
        <w:t>, Maret 2024, dapat dilihat di: https://www.usda.gov/oig, diakses 15 Juli 2025.</w:t>
      </w:r>
    </w:p>
  </w:footnote>
  <w:footnote w:id="48">
    <w:p w14:paraId="03C408C2" w14:textId="75F24002"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00C4579E" w:rsidRPr="005D58B4">
        <w:rPr>
          <w:rFonts w:ascii="Times New Roman" w:hAnsi="Times New Roman" w:cs="Times New Roman"/>
          <w:sz w:val="16"/>
          <w:szCs w:val="16"/>
          <w:lang w:val="id-ID"/>
        </w:rPr>
        <w:t xml:space="preserve"> </w:t>
      </w:r>
      <w:r w:rsidR="00C4579E" w:rsidRPr="005D58B4">
        <w:rPr>
          <w:rFonts w:ascii="Times New Roman" w:hAnsi="Times New Roman" w:cs="Times New Roman"/>
          <w:sz w:val="16"/>
          <w:szCs w:val="16"/>
          <w:lang w:val="id-ID"/>
        </w:rPr>
        <w:tab/>
      </w:r>
      <w:r w:rsidRPr="005D58B4">
        <w:rPr>
          <w:rFonts w:ascii="Times New Roman" w:hAnsi="Times New Roman" w:cs="Times New Roman"/>
          <w:sz w:val="16"/>
          <w:szCs w:val="16"/>
        </w:rPr>
        <w:t xml:space="preserve">U.S. Department of State, Bureau of Diplomatic Security (DSS), </w:t>
      </w:r>
      <w:r w:rsidRPr="005D58B4">
        <w:rPr>
          <w:rFonts w:ascii="Times New Roman" w:hAnsi="Times New Roman" w:cs="Times New Roman"/>
          <w:i/>
          <w:iCs/>
          <w:sz w:val="16"/>
          <w:szCs w:val="16"/>
        </w:rPr>
        <w:t>Mission and Operations</w:t>
      </w:r>
      <w:r w:rsidRPr="005D58B4">
        <w:rPr>
          <w:rFonts w:ascii="Times New Roman" w:hAnsi="Times New Roman" w:cs="Times New Roman"/>
          <w:sz w:val="16"/>
          <w:szCs w:val="16"/>
        </w:rPr>
        <w:t>, dapat dilihat di: https://www.state.gov/bureaus-offices/under-secretary-for-management/bureau-of-diplomatic-security/, diakses 15 Juli 2025.</w:t>
      </w:r>
    </w:p>
  </w:footnote>
  <w:footnote w:id="49">
    <w:p w14:paraId="50EA5848" w14:textId="1BC183CC"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U.S. Food and Drug Administration, Office of Criminal Investigations (FDA-OCI), </w:t>
      </w:r>
      <w:r w:rsidRPr="005D58B4">
        <w:rPr>
          <w:rFonts w:ascii="Times New Roman" w:hAnsi="Times New Roman" w:cs="Times New Roman"/>
          <w:i/>
          <w:iCs/>
          <w:sz w:val="16"/>
          <w:szCs w:val="16"/>
        </w:rPr>
        <w:t>Criminal Investigations and Enforcement Activities</w:t>
      </w:r>
      <w:r w:rsidRPr="005D58B4">
        <w:rPr>
          <w:rFonts w:ascii="Times New Roman" w:hAnsi="Times New Roman" w:cs="Times New Roman"/>
          <w:sz w:val="16"/>
          <w:szCs w:val="16"/>
        </w:rPr>
        <w:t>, dapat dilihat di: https://www.fda.gov/inspections-compliance-enforcement-criminal-investigations/criminal-investigations, diakses 15 Juli 2025.</w:t>
      </w:r>
    </w:p>
  </w:footnote>
  <w:footnote w:id="50">
    <w:p w14:paraId="49499DF1" w14:textId="69E9D936" w:rsidR="004138BC" w:rsidRPr="005D58B4" w:rsidRDefault="004138BC" w:rsidP="00C4579E">
      <w:pPr>
        <w:pStyle w:val="FootnoteText"/>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U.S. Department of Defense, Office of Inspector General – DCIS, </w:t>
      </w:r>
      <w:r w:rsidRPr="005D58B4">
        <w:rPr>
          <w:rFonts w:ascii="Times New Roman" w:hAnsi="Times New Roman" w:cs="Times New Roman"/>
          <w:i/>
          <w:iCs/>
          <w:sz w:val="16"/>
          <w:szCs w:val="16"/>
        </w:rPr>
        <w:t>Defense Criminal Investigative Service Overview</w:t>
      </w:r>
      <w:r w:rsidRPr="005D58B4">
        <w:rPr>
          <w:rFonts w:ascii="Times New Roman" w:hAnsi="Times New Roman" w:cs="Times New Roman"/>
          <w:sz w:val="16"/>
          <w:szCs w:val="16"/>
        </w:rPr>
        <w:t>, dapat dilihat di: https://www.dodig.mil/Components/DCIS/, diakses 15 Juli 2025.</w:t>
      </w:r>
    </w:p>
  </w:footnote>
  <w:footnote w:id="51">
    <w:p w14:paraId="283D13F3" w14:textId="4B3EDDFC" w:rsidR="004138BC" w:rsidRPr="005D58B4" w:rsidRDefault="004138BC" w:rsidP="00C4579E">
      <w:pPr>
        <w:spacing w:after="0" w:line="240" w:lineRule="auto"/>
        <w:ind w:left="426" w:hanging="426"/>
        <w:jc w:val="both"/>
        <w:rPr>
          <w:rFonts w:ascii="Times New Roman" w:hAnsi="Times New Roman" w:cs="Times New Roman"/>
          <w:sz w:val="16"/>
          <w:szCs w:val="16"/>
        </w:rPr>
      </w:pPr>
      <w:r w:rsidRPr="005D58B4">
        <w:rPr>
          <w:rStyle w:val="FootnoteReference"/>
          <w:rFonts w:ascii="Times New Roman" w:hAnsi="Times New Roman" w:cs="Times New Roman"/>
          <w:sz w:val="16"/>
          <w:szCs w:val="16"/>
        </w:rPr>
        <w:footnoteRef/>
      </w:r>
      <w:r w:rsidRPr="005D58B4">
        <w:rPr>
          <w:rFonts w:ascii="Times New Roman" w:hAnsi="Times New Roman" w:cs="Times New Roman"/>
          <w:sz w:val="16"/>
          <w:szCs w:val="16"/>
        </w:rPr>
        <w:t xml:space="preserve"> </w:t>
      </w:r>
      <w:r w:rsidR="00C4579E" w:rsidRPr="005D58B4">
        <w:rPr>
          <w:rFonts w:ascii="Times New Roman" w:hAnsi="Times New Roman" w:cs="Times New Roman"/>
          <w:sz w:val="16"/>
          <w:szCs w:val="16"/>
        </w:rPr>
        <w:tab/>
      </w:r>
      <w:r w:rsidRPr="005D58B4">
        <w:rPr>
          <w:rFonts w:ascii="Times New Roman" w:hAnsi="Times New Roman" w:cs="Times New Roman"/>
          <w:sz w:val="16"/>
          <w:szCs w:val="16"/>
        </w:rPr>
        <w:t xml:space="preserve">U.S. Postal Inspection Service, </w:t>
      </w:r>
      <w:r w:rsidRPr="005D58B4">
        <w:rPr>
          <w:rFonts w:ascii="Times New Roman" w:hAnsi="Times New Roman" w:cs="Times New Roman"/>
          <w:i/>
          <w:iCs/>
          <w:sz w:val="16"/>
          <w:szCs w:val="16"/>
        </w:rPr>
        <w:t>What We Do</w:t>
      </w:r>
      <w:r w:rsidRPr="005D58B4">
        <w:rPr>
          <w:rFonts w:ascii="Times New Roman" w:hAnsi="Times New Roman" w:cs="Times New Roman"/>
          <w:sz w:val="16"/>
          <w:szCs w:val="16"/>
        </w:rPr>
        <w:t>, dapat dilihat di: https://www.uspis.gov/about/who-we-are, diakses 15 Juli 2025.</w:t>
      </w:r>
    </w:p>
    <w:p w14:paraId="4A330C3F" w14:textId="77777777" w:rsidR="004138BC" w:rsidRPr="005D58B4" w:rsidRDefault="004138BC" w:rsidP="00C4579E">
      <w:pPr>
        <w:pStyle w:val="FootnoteText"/>
        <w:ind w:left="426" w:hanging="426"/>
        <w:jc w:val="both"/>
        <w:rPr>
          <w:rFonts w:ascii="Times New Roman" w:hAnsi="Times New Roman" w:cs="Times New Roman"/>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3834" w14:textId="77777777" w:rsidR="0015007B" w:rsidRPr="0015007B" w:rsidRDefault="0015007B" w:rsidP="0015007B">
    <w:pPr>
      <w:framePr w:wrap="around" w:vAnchor="text" w:hAnchor="margin" w:xAlign="outside" w:y="1"/>
      <w:tabs>
        <w:tab w:val="center" w:pos="4320"/>
        <w:tab w:val="right" w:pos="8640"/>
      </w:tabs>
      <w:spacing w:after="0" w:line="240" w:lineRule="auto"/>
      <w:rPr>
        <w:rFonts w:ascii="Times New Roman" w:eastAsia="Times New Roman" w:hAnsi="Times New Roman" w:cs="Times New Roman"/>
        <w:sz w:val="20"/>
        <w:szCs w:val="20"/>
        <w:lang w:val="en" w:eastAsia="en-ID"/>
      </w:rPr>
    </w:pPr>
    <w:r w:rsidRPr="0015007B">
      <w:rPr>
        <w:rFonts w:ascii="Times New Roman" w:eastAsia="Times New Roman" w:hAnsi="Times New Roman" w:cs="Times New Roman"/>
        <w:sz w:val="20"/>
        <w:szCs w:val="20"/>
        <w:lang w:val="en" w:eastAsia="en-ID"/>
      </w:rPr>
      <w:fldChar w:fldCharType="begin"/>
    </w:r>
    <w:r w:rsidRPr="0015007B">
      <w:rPr>
        <w:rFonts w:ascii="Times New Roman" w:eastAsia="Times New Roman" w:hAnsi="Times New Roman" w:cs="Times New Roman"/>
        <w:sz w:val="20"/>
        <w:szCs w:val="20"/>
        <w:lang w:val="en" w:eastAsia="en-ID"/>
      </w:rPr>
      <w:instrText xml:space="preserve">PAGE  </w:instrText>
    </w:r>
    <w:r w:rsidRPr="0015007B">
      <w:rPr>
        <w:rFonts w:ascii="Times New Roman" w:eastAsia="Times New Roman" w:hAnsi="Times New Roman" w:cs="Times New Roman"/>
        <w:sz w:val="20"/>
        <w:szCs w:val="20"/>
        <w:lang w:val="en" w:eastAsia="en-ID"/>
      </w:rPr>
      <w:fldChar w:fldCharType="separate"/>
    </w:r>
    <w:r w:rsidR="005D58B4">
      <w:rPr>
        <w:rFonts w:ascii="Times New Roman" w:eastAsia="Times New Roman" w:hAnsi="Times New Roman" w:cs="Times New Roman"/>
        <w:noProof/>
        <w:sz w:val="20"/>
        <w:szCs w:val="20"/>
        <w:lang w:val="en" w:eastAsia="en-ID"/>
      </w:rPr>
      <w:t>498</w:t>
    </w:r>
    <w:r w:rsidRPr="0015007B">
      <w:rPr>
        <w:rFonts w:ascii="Times New Roman" w:eastAsia="Times New Roman" w:hAnsi="Times New Roman" w:cs="Times New Roman"/>
        <w:sz w:val="20"/>
        <w:szCs w:val="20"/>
        <w:lang w:val="en" w:eastAsia="en-ID"/>
      </w:rPr>
      <w:fldChar w:fldCharType="end"/>
    </w:r>
  </w:p>
  <w:p w14:paraId="167BBA86" w14:textId="09561FB8" w:rsidR="0015007B" w:rsidRPr="0015007B" w:rsidRDefault="0015007B" w:rsidP="0015007B">
    <w:pPr>
      <w:spacing w:after="240" w:line="240" w:lineRule="auto"/>
      <w:jc w:val="right"/>
      <w:rPr>
        <w:rFonts w:ascii="Times New Roman" w:eastAsia="Times New Roman" w:hAnsi="Times New Roman" w:cs="Times New Roman"/>
        <w:sz w:val="20"/>
        <w:szCs w:val="20"/>
        <w:lang w:val="en" w:eastAsia="en-ID"/>
      </w:rPr>
    </w:pPr>
    <w:r w:rsidRPr="0015007B">
      <w:rPr>
        <w:rFonts w:ascii="Caladea" w:eastAsia="Caladea" w:hAnsi="Caladea" w:cs="Caladea"/>
        <w:noProof/>
      </w:rPr>
      <mc:AlternateContent>
        <mc:Choice Requires="wps">
          <w:drawing>
            <wp:anchor distT="4294967293" distB="4294967293" distL="114300" distR="114300" simplePos="0" relativeHeight="251662336" behindDoc="0" locked="0" layoutInCell="1" allowOverlap="1" wp14:anchorId="0D9D28A3" wp14:editId="612CA8D7">
              <wp:simplePos x="0" y="0"/>
              <wp:positionH relativeFrom="column">
                <wp:posOffset>-15875</wp:posOffset>
              </wp:positionH>
              <wp:positionV relativeFrom="paragraph">
                <wp:posOffset>182879</wp:posOffset>
              </wp:positionV>
              <wp:extent cx="5975985" cy="0"/>
              <wp:effectExtent l="0" t="0" r="2476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1A9D2D89" id="_x0000_t32" coordsize="21600,21600" o:spt="32" o:oned="t" path="m,l21600,21600e" filled="f">
              <v:path arrowok="t" fillok="f" o:connecttype="none"/>
              <o:lock v:ext="edit" shapetype="t"/>
            </v:shapetype>
            <v:shape id="Straight Arrow Connector 7" o:spid="_x0000_s1026" type="#_x0000_t32" style="position:absolute;margin-left:-1.25pt;margin-top:14.4pt;width:470.5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" strokeweight="1pt"/>
          </w:pict>
        </mc:Fallback>
      </mc:AlternateContent>
    </w:r>
    <w:r w:rsidRPr="0015007B">
      <w:rPr>
        <w:rFonts w:ascii="Times New Roman" w:eastAsia="Times New Roman" w:hAnsi="Times New Roman" w:cs="Times New Roman"/>
        <w:sz w:val="20"/>
        <w:szCs w:val="20"/>
        <w:lang w:val="en" w:eastAsia="en-ID"/>
      </w:rPr>
      <w:t xml:space="preserve">ISSN: </w:t>
    </w:r>
    <w:r w:rsidRPr="0015007B">
      <w:rPr>
        <w:rFonts w:ascii="Times New Roman" w:eastAsia="Times New Roman" w:hAnsi="Times New Roman" w:cs="Times New Roman"/>
        <w:sz w:val="20"/>
        <w:szCs w:val="20"/>
        <w:lang w:val="id-ID" w:eastAsia="en-ID"/>
      </w:rPr>
      <w:t>2808-103X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0C85D" w14:textId="77777777" w:rsidR="0015007B" w:rsidRPr="0015007B" w:rsidRDefault="0015007B" w:rsidP="0015007B">
    <w:pPr>
      <w:framePr w:wrap="around" w:vAnchor="text" w:hAnchor="margin" w:xAlign="outside" w:y="1"/>
      <w:tabs>
        <w:tab w:val="center" w:pos="4320"/>
        <w:tab w:val="right" w:pos="8640"/>
      </w:tabs>
      <w:spacing w:after="0" w:line="240" w:lineRule="auto"/>
      <w:rPr>
        <w:rFonts w:ascii="Times New Roman" w:eastAsia="Times New Roman" w:hAnsi="Times New Roman" w:cs="Times New Roman"/>
        <w:sz w:val="20"/>
        <w:szCs w:val="20"/>
        <w:lang w:val="en" w:eastAsia="en-ID"/>
      </w:rPr>
    </w:pPr>
    <w:r w:rsidRPr="0015007B">
      <w:rPr>
        <w:rFonts w:ascii="Times New Roman" w:eastAsia="Times New Roman" w:hAnsi="Times New Roman" w:cs="Times New Roman"/>
        <w:sz w:val="20"/>
        <w:szCs w:val="20"/>
        <w:lang w:val="en" w:eastAsia="en-ID"/>
      </w:rPr>
      <w:fldChar w:fldCharType="begin"/>
    </w:r>
    <w:r w:rsidRPr="0015007B">
      <w:rPr>
        <w:rFonts w:ascii="Times New Roman" w:eastAsia="Times New Roman" w:hAnsi="Times New Roman" w:cs="Times New Roman"/>
        <w:sz w:val="20"/>
        <w:szCs w:val="20"/>
        <w:lang w:val="en" w:eastAsia="en-ID"/>
      </w:rPr>
      <w:instrText xml:space="preserve">PAGE  </w:instrText>
    </w:r>
    <w:r w:rsidRPr="0015007B">
      <w:rPr>
        <w:rFonts w:ascii="Times New Roman" w:eastAsia="Times New Roman" w:hAnsi="Times New Roman" w:cs="Times New Roman"/>
        <w:sz w:val="20"/>
        <w:szCs w:val="20"/>
        <w:lang w:val="en" w:eastAsia="en-ID"/>
      </w:rPr>
      <w:fldChar w:fldCharType="separate"/>
    </w:r>
    <w:r w:rsidR="005D58B4">
      <w:rPr>
        <w:rFonts w:ascii="Times New Roman" w:eastAsia="Times New Roman" w:hAnsi="Times New Roman" w:cs="Times New Roman"/>
        <w:noProof/>
        <w:sz w:val="20"/>
        <w:szCs w:val="20"/>
        <w:lang w:val="en" w:eastAsia="en-ID"/>
      </w:rPr>
      <w:t>499</w:t>
    </w:r>
    <w:r w:rsidRPr="0015007B">
      <w:rPr>
        <w:rFonts w:ascii="Times New Roman" w:eastAsia="Times New Roman" w:hAnsi="Times New Roman" w:cs="Times New Roman"/>
        <w:sz w:val="20"/>
        <w:szCs w:val="20"/>
        <w:lang w:val="en" w:eastAsia="en-ID"/>
      </w:rPr>
      <w:fldChar w:fldCharType="end"/>
    </w:r>
  </w:p>
  <w:p w14:paraId="17D7F114" w14:textId="31E01D1C" w:rsidR="0015007B" w:rsidRPr="0015007B" w:rsidRDefault="0015007B" w:rsidP="0015007B">
    <w:pPr>
      <w:spacing w:after="240" w:line="240" w:lineRule="auto"/>
      <w:rPr>
        <w:rFonts w:ascii="Times New Roman" w:eastAsia="Times New Roman" w:hAnsi="Times New Roman" w:cs="Times New Roman"/>
        <w:sz w:val="20"/>
        <w:szCs w:val="20"/>
        <w:lang w:val="en" w:eastAsia="en-ID"/>
      </w:rPr>
    </w:pPr>
    <w:r w:rsidRPr="0015007B">
      <w:rPr>
        <w:rFonts w:ascii="Caladea" w:eastAsia="Caladea" w:hAnsi="Caladea" w:cs="Caladea"/>
        <w:noProof/>
      </w:rPr>
      <mc:AlternateContent>
        <mc:Choice Requires="wps">
          <w:drawing>
            <wp:anchor distT="4294967293" distB="4294967293" distL="114300" distR="114300" simplePos="0" relativeHeight="251664384" behindDoc="0" locked="0" layoutInCell="1" allowOverlap="1" wp14:anchorId="5BF85432" wp14:editId="60C2F28E">
              <wp:simplePos x="0" y="0"/>
              <wp:positionH relativeFrom="column">
                <wp:posOffset>-15875</wp:posOffset>
              </wp:positionH>
              <wp:positionV relativeFrom="paragraph">
                <wp:posOffset>182879</wp:posOffset>
              </wp:positionV>
              <wp:extent cx="5975985" cy="0"/>
              <wp:effectExtent l="0" t="0" r="2476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141A9E5E" id="_x0000_t32" coordsize="21600,21600" o:spt="32" o:oned="t" path="m,l21600,21600e" filled="f">
              <v:path arrowok="t" fillok="f" o:connecttype="none"/>
              <o:lock v:ext="edit" shapetype="t"/>
            </v:shapetype>
            <v:shape id="Straight Arrow Connector 13" o:spid="_x0000_s1026" type="#_x0000_t32" style="position:absolute;margin-left:-1.25pt;margin-top:14.4pt;width:470.5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" strokeweight="1pt"/>
          </w:pict>
        </mc:Fallback>
      </mc:AlternateContent>
    </w:r>
    <w:r w:rsidRPr="0015007B">
      <w:rPr>
        <w:rFonts w:ascii="Times New Roman" w:eastAsia="Times New Roman" w:hAnsi="Times New Roman" w:cs="Times New Roman"/>
        <w:sz w:val="20"/>
        <w:szCs w:val="20"/>
        <w:lang w:val="en" w:eastAsia="en-ID"/>
      </w:rPr>
      <w:t xml:space="preserve">ISSN: </w:t>
    </w:r>
    <w:r w:rsidRPr="0015007B">
      <w:rPr>
        <w:rFonts w:ascii="Times New Roman" w:eastAsia="Times New Roman" w:hAnsi="Times New Roman" w:cs="Times New Roman"/>
        <w:sz w:val="20"/>
        <w:szCs w:val="20"/>
        <w:lang w:val="id-ID" w:eastAsia="en-ID"/>
      </w:rPr>
      <w:t>2808-103X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30700" w14:textId="77777777" w:rsidR="0015007B" w:rsidRPr="0015007B" w:rsidRDefault="0015007B" w:rsidP="0015007B">
    <w:pPr>
      <w:spacing w:after="0" w:line="240" w:lineRule="auto"/>
      <w:ind w:right="45"/>
      <w:jc w:val="both"/>
      <w:rPr>
        <w:rFonts w:ascii="Times New Roman" w:eastAsia="Times New Roman" w:hAnsi="Times New Roman" w:cs="Times New Roman"/>
        <w:b/>
        <w:color w:val="000000"/>
        <w:kern w:val="2"/>
        <w:sz w:val="20"/>
        <w:szCs w:val="20"/>
        <w:lang w:val="id-ID" w:eastAsia="en-ID"/>
      </w:rPr>
    </w:pPr>
    <w:r w:rsidRPr="0015007B">
      <w:rPr>
        <w:rFonts w:ascii="Times New Roman" w:eastAsia="Times New Roman" w:hAnsi="Times New Roman" w:cs="Times New Roman"/>
        <w:b/>
        <w:noProof/>
        <w:color w:val="000000"/>
        <w:kern w:val="2"/>
        <w:sz w:val="20"/>
        <w:szCs w:val="20"/>
      </w:rPr>
      <w:drawing>
        <wp:anchor distT="0" distB="0" distL="114300" distR="114300" simplePos="0" relativeHeight="251660288" behindDoc="1" locked="0" layoutInCell="1" allowOverlap="1" wp14:anchorId="1983577D" wp14:editId="5EC0162C">
          <wp:simplePos x="0" y="0"/>
          <wp:positionH relativeFrom="column">
            <wp:posOffset>1270</wp:posOffset>
          </wp:positionH>
          <wp:positionV relativeFrom="paragraph">
            <wp:posOffset>22860</wp:posOffset>
          </wp:positionV>
          <wp:extent cx="1168400" cy="350520"/>
          <wp:effectExtent l="0" t="0" r="0" b="0"/>
          <wp:wrapTight wrapText="bothSides">
            <wp:wrapPolygon edited="0">
              <wp:start x="0" y="0"/>
              <wp:lineTo x="0" y="19957"/>
              <wp:lineTo x="21130" y="19957"/>
              <wp:lineTo x="21130" y="4696"/>
              <wp:lineTo x="197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8400" cy="350520"/>
                  </a:xfrm>
                  <a:prstGeom prst="rect">
                    <a:avLst/>
                  </a:prstGeom>
                </pic:spPr>
              </pic:pic>
            </a:graphicData>
          </a:graphic>
        </wp:anchor>
      </w:drawing>
    </w:r>
    <w:r w:rsidRPr="0015007B">
      <w:rPr>
        <w:rFonts w:ascii="Times New Roman" w:eastAsia="Times New Roman" w:hAnsi="Times New Roman" w:cs="Times New Roman"/>
        <w:b/>
        <w:color w:val="000000"/>
        <w:kern w:val="2"/>
        <w:sz w:val="20"/>
        <w:szCs w:val="20"/>
        <w:lang w:val="id-ID" w:eastAsia="en-ID"/>
      </w:rPr>
      <w:t>Proceedings Series on Social Sciences &amp; Humanities, Volume 14</w:t>
    </w:r>
  </w:p>
  <w:p w14:paraId="51405182" w14:textId="77777777" w:rsidR="0015007B" w:rsidRPr="0015007B" w:rsidRDefault="0015007B" w:rsidP="0015007B">
    <w:pPr>
      <w:spacing w:after="0" w:line="240" w:lineRule="auto"/>
      <w:ind w:right="45"/>
      <w:jc w:val="both"/>
      <w:rPr>
        <w:rFonts w:ascii="Times New Roman" w:eastAsia="Times New Roman" w:hAnsi="Times New Roman" w:cs="Times New Roman"/>
        <w:b/>
        <w:color w:val="000000"/>
        <w:kern w:val="2"/>
        <w:sz w:val="20"/>
        <w:szCs w:val="20"/>
        <w:lang w:val="en-ID" w:eastAsia="en-ID"/>
      </w:rPr>
    </w:pPr>
    <w:r w:rsidRPr="0015007B">
      <w:rPr>
        <w:rFonts w:ascii="Times New Roman" w:eastAsia="Times New Roman" w:hAnsi="Times New Roman" w:cs="Times New Roman"/>
        <w:b/>
        <w:color w:val="000000"/>
        <w:kern w:val="2"/>
        <w:sz w:val="20"/>
        <w:szCs w:val="20"/>
        <w:lang w:val="id-ID" w:eastAsia="en-ID"/>
      </w:rPr>
      <w:t>Proceedings of International Conference on Legal Studies (ICOLAS)</w:t>
    </w:r>
  </w:p>
  <w:p w14:paraId="2B83BF25" w14:textId="77777777" w:rsidR="0015007B" w:rsidRPr="0015007B" w:rsidRDefault="0015007B" w:rsidP="0015007B">
    <w:pPr>
      <w:spacing w:after="0" w:line="240" w:lineRule="auto"/>
      <w:jc w:val="both"/>
      <w:rPr>
        <w:rFonts w:ascii="Times New Roman" w:eastAsia="Times New Roman" w:hAnsi="Times New Roman" w:cs="Times New Roman"/>
        <w:color w:val="000000"/>
        <w:kern w:val="2"/>
        <w:sz w:val="20"/>
        <w:szCs w:val="20"/>
        <w:lang w:val="de-DE" w:eastAsia="en-ID"/>
      </w:rPr>
    </w:pPr>
    <w:r w:rsidRPr="0015007B">
      <w:rPr>
        <w:rFonts w:ascii="Times New Roman" w:eastAsia="Times New Roman" w:hAnsi="Times New Roman" w:cs="Times New Roman"/>
        <w:color w:val="000000"/>
        <w:kern w:val="2"/>
        <w:sz w:val="20"/>
        <w:szCs w:val="20"/>
        <w:lang w:val="id-ID" w:eastAsia="en-ID"/>
      </w:rPr>
      <w:t xml:space="preserve">ISSN: 2808-103X </w:t>
    </w:r>
  </w:p>
  <w:p w14:paraId="281D1C67" w14:textId="1EA3264A" w:rsidR="0015007B" w:rsidRPr="0015007B" w:rsidRDefault="0015007B" w:rsidP="0015007B">
    <w:pPr>
      <w:spacing w:after="0" w:line="240" w:lineRule="auto"/>
      <w:ind w:left="1097" w:right="45" w:firstLine="558"/>
      <w:jc w:val="right"/>
      <w:rPr>
        <w:rFonts w:ascii="Times New Roman" w:eastAsia="Times New Roman" w:hAnsi="Times New Roman" w:cs="Times New Roman"/>
        <w:color w:val="000000"/>
        <w:kern w:val="2"/>
        <w:sz w:val="20"/>
        <w:szCs w:val="20"/>
        <w:lang w:val="de-DE" w:eastAsia="en-ID"/>
      </w:rPr>
    </w:pPr>
    <w:r w:rsidRPr="0015007B">
      <w:rPr>
        <w:rFonts w:ascii="Caladea" w:eastAsia="Caladea" w:hAnsi="Caladea" w:cs="Caladea"/>
        <w:noProof/>
      </w:rPr>
      <mc:AlternateContent>
        <mc:Choice Requires="wps">
          <w:drawing>
            <wp:anchor distT="4294967293" distB="4294967293" distL="114300" distR="114300" simplePos="0" relativeHeight="251659264" behindDoc="0" locked="0" layoutInCell="1" allowOverlap="1" wp14:anchorId="0A1F85EE" wp14:editId="7661BD2C">
              <wp:simplePos x="0" y="0"/>
              <wp:positionH relativeFrom="column">
                <wp:posOffset>4445</wp:posOffset>
              </wp:positionH>
              <wp:positionV relativeFrom="paragraph">
                <wp:posOffset>40004</wp:posOffset>
              </wp:positionV>
              <wp:extent cx="5868035" cy="0"/>
              <wp:effectExtent l="0" t="0" r="374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6BCDA520" id="_x0000_t32" coordsize="21600,21600" o:spt="32" o:oned="t" path="m,l21600,21600e" filled="f">
              <v:path arrowok="t" fillok="f" o:connecttype="none"/>
              <o:lock v:ext="edit" shapetype="t"/>
            </v:shapetype>
            <v:shape id="Straight Arrow Connector 2" o:spid="_x0000_s1026" type="#_x0000_t32" style="position:absolute;margin-left:.35pt;margin-top:3.15pt;width:462.0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" strokeweight="1pt"/>
          </w:pict>
        </mc:Fallback>
      </mc:AlternateContent>
    </w:r>
    <w:r w:rsidRPr="0015007B">
      <w:rPr>
        <w:rFonts w:ascii="Times New Roman" w:eastAsia="Times New Roman" w:hAnsi="Times New Roman" w:cs="Times New Roman"/>
        <w:color w:val="000000"/>
        <w:kern w:val="2"/>
        <w:sz w:val="20"/>
        <w:szCs w:val="20"/>
        <w:lang w:val="de-DE" w:eastAsia="en-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67602"/>
    <w:multiLevelType w:val="hybridMultilevel"/>
    <w:tmpl w:val="392A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92447"/>
    <w:multiLevelType w:val="multilevel"/>
    <w:tmpl w:val="F94C71D2"/>
    <w:lvl w:ilvl="0">
      <w:start w:val="1"/>
      <w:numFmt w:val="upperRoman"/>
      <w:lvlText w:val="%1."/>
      <w:lvlJc w:val="left"/>
      <w:pPr>
        <w:ind w:left="1080" w:hanging="72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7A2B54"/>
    <w:multiLevelType w:val="multilevel"/>
    <w:tmpl w:val="D7686C46"/>
    <w:lvl w:ilvl="0">
      <w:start w:val="1"/>
      <w:numFmt w:val="decimal"/>
      <w:lvlText w:val="%1."/>
      <w:lvlJc w:val="left"/>
      <w:pPr>
        <w:ind w:left="720" w:hanging="360"/>
      </w:pPr>
      <w:rPr>
        <w:rFonts w:ascii="Book Antiqua" w:eastAsia="Book Antiqua" w:hAnsi="Book Antiqua" w:cs="Book Antiqu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BC"/>
    <w:rsid w:val="0015007B"/>
    <w:rsid w:val="002B50D9"/>
    <w:rsid w:val="002F1DDC"/>
    <w:rsid w:val="004138BC"/>
    <w:rsid w:val="004F217D"/>
    <w:rsid w:val="004F773D"/>
    <w:rsid w:val="005D58B4"/>
    <w:rsid w:val="00896611"/>
    <w:rsid w:val="009C2114"/>
    <w:rsid w:val="009E20B0"/>
    <w:rsid w:val="00A67427"/>
    <w:rsid w:val="00A90D3B"/>
    <w:rsid w:val="00BB5357"/>
    <w:rsid w:val="00C4579E"/>
    <w:rsid w:val="00CA22C9"/>
    <w:rsid w:val="00CD1D45"/>
    <w:rsid w:val="00D36A09"/>
    <w:rsid w:val="00EF0443"/>
    <w:rsid w:val="00F4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AF9B1"/>
  <w15:chartTrackingRefBased/>
  <w15:docId w15:val="{92085FD3-A45B-45E8-8361-22D20BB5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BC"/>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13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38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8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8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8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8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8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8BC"/>
    <w:rPr>
      <w:rFonts w:eastAsiaTheme="majorEastAsia" w:cstheme="majorBidi"/>
      <w:color w:val="272727" w:themeColor="text1" w:themeTint="D8"/>
    </w:rPr>
  </w:style>
  <w:style w:type="paragraph" w:styleId="Title">
    <w:name w:val="Title"/>
    <w:basedOn w:val="Normal"/>
    <w:next w:val="Normal"/>
    <w:link w:val="TitleChar"/>
    <w:uiPriority w:val="10"/>
    <w:qFormat/>
    <w:rsid w:val="00413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8BC"/>
    <w:pPr>
      <w:spacing w:before="160"/>
      <w:jc w:val="center"/>
    </w:pPr>
    <w:rPr>
      <w:i/>
      <w:iCs/>
      <w:color w:val="404040" w:themeColor="text1" w:themeTint="BF"/>
    </w:rPr>
  </w:style>
  <w:style w:type="character" w:customStyle="1" w:styleId="QuoteChar">
    <w:name w:val="Quote Char"/>
    <w:basedOn w:val="DefaultParagraphFont"/>
    <w:link w:val="Quote"/>
    <w:uiPriority w:val="29"/>
    <w:rsid w:val="004138BC"/>
    <w:rPr>
      <w:i/>
      <w:iCs/>
      <w:color w:val="404040" w:themeColor="text1" w:themeTint="BF"/>
    </w:rPr>
  </w:style>
  <w:style w:type="paragraph" w:styleId="ListParagraph">
    <w:name w:val="List Paragraph"/>
    <w:basedOn w:val="Normal"/>
    <w:uiPriority w:val="34"/>
    <w:qFormat/>
    <w:rsid w:val="004138BC"/>
    <w:pPr>
      <w:ind w:left="720"/>
      <w:contextualSpacing/>
    </w:pPr>
  </w:style>
  <w:style w:type="character" w:styleId="IntenseEmphasis">
    <w:name w:val="Intense Emphasis"/>
    <w:basedOn w:val="DefaultParagraphFont"/>
    <w:uiPriority w:val="21"/>
    <w:qFormat/>
    <w:rsid w:val="004138BC"/>
    <w:rPr>
      <w:i/>
      <w:iCs/>
      <w:color w:val="2F5496" w:themeColor="accent1" w:themeShade="BF"/>
    </w:rPr>
  </w:style>
  <w:style w:type="paragraph" w:styleId="IntenseQuote">
    <w:name w:val="Intense Quote"/>
    <w:basedOn w:val="Normal"/>
    <w:next w:val="Normal"/>
    <w:link w:val="IntenseQuoteChar"/>
    <w:uiPriority w:val="30"/>
    <w:qFormat/>
    <w:rsid w:val="00413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8BC"/>
    <w:rPr>
      <w:i/>
      <w:iCs/>
      <w:color w:val="2F5496" w:themeColor="accent1" w:themeShade="BF"/>
    </w:rPr>
  </w:style>
  <w:style w:type="character" w:styleId="IntenseReference">
    <w:name w:val="Intense Reference"/>
    <w:basedOn w:val="DefaultParagraphFont"/>
    <w:uiPriority w:val="32"/>
    <w:qFormat/>
    <w:rsid w:val="004138BC"/>
    <w:rPr>
      <w:b/>
      <w:bCs/>
      <w:smallCaps/>
      <w:color w:val="2F5496" w:themeColor="accent1" w:themeShade="BF"/>
      <w:spacing w:val="5"/>
    </w:rPr>
  </w:style>
  <w:style w:type="table" w:customStyle="1" w:styleId="2">
    <w:name w:val="2"/>
    <w:basedOn w:val="TableNormal"/>
    <w:rsid w:val="004138BC"/>
    <w:pPr>
      <w:spacing w:after="200" w:line="276" w:lineRule="auto"/>
    </w:pPr>
    <w:rPr>
      <w:rFonts w:ascii="Calibri" w:eastAsia="Calibri" w:hAnsi="Calibri" w:cs="Calibri"/>
      <w:kern w:val="0"/>
      <w:sz w:val="22"/>
      <w:szCs w:val="22"/>
      <w14:ligatures w14:val="none"/>
    </w:rPr>
    <w:tblPr>
      <w:tblStyleRowBandSize w:val="1"/>
      <w:tblStyleColBandSize w:val="1"/>
      <w:tblInd w:w="0" w:type="nil"/>
      <w:tblCellMar>
        <w:left w:w="115" w:type="dxa"/>
        <w:right w:w="115" w:type="dxa"/>
      </w:tblCellMar>
    </w:tblPr>
  </w:style>
  <w:style w:type="character" w:styleId="Hyperlink">
    <w:name w:val="Hyperlink"/>
    <w:basedOn w:val="DefaultParagraphFont"/>
    <w:uiPriority w:val="99"/>
    <w:unhideWhenUsed/>
    <w:rsid w:val="004138BC"/>
    <w:rPr>
      <w:color w:val="0563C1" w:themeColor="hyperlink"/>
      <w:u w:val="single"/>
    </w:rPr>
  </w:style>
  <w:style w:type="paragraph" w:styleId="FootnoteText">
    <w:name w:val="footnote text"/>
    <w:basedOn w:val="Normal"/>
    <w:link w:val="FootnoteTextChar"/>
    <w:uiPriority w:val="99"/>
    <w:semiHidden/>
    <w:unhideWhenUsed/>
    <w:rsid w:val="004138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8BC"/>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4138BC"/>
    <w:rPr>
      <w:vertAlign w:val="superscript"/>
    </w:rPr>
  </w:style>
  <w:style w:type="paragraph" w:styleId="Header">
    <w:name w:val="header"/>
    <w:basedOn w:val="Normal"/>
    <w:link w:val="HeaderChar"/>
    <w:uiPriority w:val="99"/>
    <w:unhideWhenUsed/>
    <w:rsid w:val="00150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07B"/>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150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07B"/>
    <w:rPr>
      <w:rFonts w:ascii="Calibri" w:eastAsia="Calibri" w:hAnsi="Calibri" w:cs="Calibri"/>
      <w:kern w:val="0"/>
      <w:sz w:val="22"/>
      <w:szCs w:val="22"/>
      <w14:ligatures w14:val="none"/>
    </w:rPr>
  </w:style>
  <w:style w:type="table" w:customStyle="1" w:styleId="TableGrid1">
    <w:name w:val="Table Grid1"/>
    <w:basedOn w:val="TableNormal"/>
    <w:qFormat/>
    <w:rsid w:val="002B50D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0595/pssh.v14i.109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anifahazizah108@g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conferenceproceedings.ump.ac.id/index.php/pssh/issue/view/2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nferenceproceedings.ump.ac.id/index.php/pssh/issue/view/28"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nferenceproceedings.ump.ac.id/index.php/pssh/issue/view/2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7/S2194607800000416" TargetMode="External"/><Relationship Id="rId2" Type="http://schemas.openxmlformats.org/officeDocument/2006/relationships/hyperlink" Target="https://www.fatf-gafi.org/content/fatf-gafi/en/publications/Fatfrecommendations/fatf-recommendations.html" TargetMode="External"/><Relationship Id="rId1" Type="http://schemas.openxmlformats.org/officeDocument/2006/relationships/hyperlink" Target="https://www.fatf-gafi.org/content/fatf-gafi/en/publications/Fatfrecommendations/fatf-recommendation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701</TotalTime>
  <Pages>7</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Hanifah Azizah</dc:creator>
  <cp:keywords/>
  <dc:description/>
  <cp:lastModifiedBy>Lukni Maulana</cp:lastModifiedBy>
  <cp:revision>11</cp:revision>
  <dcterms:created xsi:type="dcterms:W3CDTF">2026-06-19T14:07:00Z</dcterms:created>
  <dcterms:modified xsi:type="dcterms:W3CDTF">2026-06-20T02:22:00Z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8b91f3c1-ef61-4c0c-a75b-5dd27da58659</vt:lpwstr>
  </property>
</Properties>
</file>